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2B" w:rsidRPr="00847A32" w:rsidRDefault="00CE012B" w:rsidP="006D4593">
      <w:pPr>
        <w:spacing w:line="560" w:lineRule="exact"/>
        <w:jc w:val="center"/>
        <w:rPr>
          <w:rFonts w:ascii="方正小标宋简体" w:eastAsia="方正小标宋简体" w:hAnsi="宋体"/>
          <w:sz w:val="36"/>
          <w:szCs w:val="36"/>
        </w:rPr>
      </w:pPr>
      <w:r w:rsidRPr="00847A32">
        <w:rPr>
          <w:rFonts w:ascii="方正小标宋简体" w:eastAsia="方正小标宋简体" w:hAnsi="宋体" w:hint="eastAsia"/>
          <w:sz w:val="36"/>
          <w:szCs w:val="36"/>
        </w:rPr>
        <w:t>天津滨海德商村镇银行股份有限公司201</w:t>
      </w:r>
      <w:r w:rsidR="00BB6142">
        <w:rPr>
          <w:rFonts w:ascii="方正小标宋简体" w:eastAsia="方正小标宋简体" w:hAnsi="宋体" w:hint="eastAsia"/>
          <w:sz w:val="36"/>
          <w:szCs w:val="36"/>
        </w:rPr>
        <w:t>9</w:t>
      </w:r>
      <w:r w:rsidRPr="00847A32">
        <w:rPr>
          <w:rFonts w:ascii="方正小标宋简体" w:eastAsia="方正小标宋简体" w:hAnsi="宋体" w:hint="eastAsia"/>
          <w:sz w:val="36"/>
          <w:szCs w:val="36"/>
        </w:rPr>
        <w:t>年度报告</w:t>
      </w:r>
    </w:p>
    <w:p w:rsidR="00845A62" w:rsidRDefault="00845A62" w:rsidP="002B48F9">
      <w:pPr>
        <w:spacing w:line="560" w:lineRule="exact"/>
        <w:jc w:val="center"/>
        <w:rPr>
          <w:rFonts w:ascii="黑体" w:eastAsia="黑体" w:hAnsi="宋体" w:cs="Tahoma"/>
          <w:kern w:val="0"/>
          <w:sz w:val="30"/>
          <w:szCs w:val="30"/>
        </w:rPr>
      </w:pPr>
    </w:p>
    <w:p w:rsidR="00C5511A" w:rsidRPr="008F5787" w:rsidRDefault="00C5511A" w:rsidP="002B48F9">
      <w:pPr>
        <w:spacing w:line="560" w:lineRule="exact"/>
        <w:jc w:val="center"/>
        <w:rPr>
          <w:rFonts w:ascii="黑体" w:eastAsia="黑体"/>
          <w:sz w:val="30"/>
          <w:szCs w:val="30"/>
        </w:rPr>
      </w:pPr>
      <w:r w:rsidRPr="008F5787">
        <w:rPr>
          <w:rFonts w:ascii="黑体" w:eastAsia="黑体" w:hAnsi="宋体" w:cs="Tahoma" w:hint="eastAsia"/>
          <w:kern w:val="0"/>
          <w:sz w:val="30"/>
          <w:szCs w:val="30"/>
        </w:rPr>
        <w:t xml:space="preserve">第一章　</w:t>
      </w:r>
      <w:r w:rsidRPr="008F5787">
        <w:rPr>
          <w:rFonts w:ascii="黑体" w:eastAsia="黑体" w:hint="eastAsia"/>
          <w:sz w:val="30"/>
          <w:szCs w:val="30"/>
        </w:rPr>
        <w:t>重要提示</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天津滨海德商村镇银行股份有限公司（下称“本行”）董事会保证本报告所载资料不存在任何</w:t>
      </w:r>
      <w:r w:rsidRPr="00847A32">
        <w:rPr>
          <w:rFonts w:ascii="仿宋_GB2312" w:eastAsia="仿宋_GB2312" w:hint="eastAsia"/>
          <w:sz w:val="30"/>
          <w:szCs w:val="30"/>
        </w:rPr>
        <w:t>虚假记载、误导性陈述或者重大遗漏</w:t>
      </w:r>
      <w:r w:rsidRPr="00847A32">
        <w:rPr>
          <w:rFonts w:ascii="仿宋_GB2312" w:eastAsia="仿宋_GB2312" w:hAnsi="ˎ̥" w:cs="Tahoma" w:hint="eastAsia"/>
          <w:kern w:val="0"/>
          <w:sz w:val="30"/>
          <w:szCs w:val="30"/>
        </w:rPr>
        <w:t>，并对其内容的真实性、准确性和完整性承担个别及连带责任。</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本行年度财务报告已经浙江同方会计师事务所有限公司根据中国注册会计师独立审计准则审计并出具了标准无保留意见的审计报告。</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本行董事长曹治中、行长吴力宏、计划财务部总经理</w:t>
      </w:r>
      <w:r w:rsidR="00616B04">
        <w:rPr>
          <w:rFonts w:ascii="仿宋_GB2312" w:eastAsia="仿宋_GB2312" w:hAnsi="ˎ̥" w:cs="Tahoma" w:hint="eastAsia"/>
          <w:kern w:val="0"/>
          <w:sz w:val="30"/>
          <w:szCs w:val="30"/>
        </w:rPr>
        <w:t>汪敏</w:t>
      </w:r>
      <w:r w:rsidRPr="00847A32">
        <w:rPr>
          <w:rFonts w:ascii="仿宋_GB2312" w:eastAsia="仿宋_GB2312" w:hint="eastAsia"/>
          <w:sz w:val="30"/>
          <w:szCs w:val="30"/>
        </w:rPr>
        <w:t>，</w:t>
      </w:r>
      <w:r w:rsidRPr="00847A32">
        <w:rPr>
          <w:rFonts w:ascii="仿宋_GB2312" w:eastAsia="仿宋_GB2312" w:hAnsi="ˎ̥" w:cs="Tahoma" w:hint="eastAsia"/>
          <w:kern w:val="0"/>
          <w:sz w:val="30"/>
          <w:szCs w:val="30"/>
        </w:rPr>
        <w:t>保证年度报告中财务报告的真实、完整。</w:t>
      </w:r>
      <w:bookmarkStart w:id="0" w:name="OLE_LINK3"/>
    </w:p>
    <w:p w:rsidR="00C5511A" w:rsidRPr="00847A32" w:rsidRDefault="00C5511A" w:rsidP="002B48F9">
      <w:pPr>
        <w:spacing w:line="560" w:lineRule="exact"/>
        <w:jc w:val="center"/>
        <w:rPr>
          <w:rFonts w:ascii="仿宋_GB2312" w:eastAsia="仿宋_GB2312" w:hAnsi="宋体" w:cs="Tahoma"/>
          <w:b/>
          <w:kern w:val="0"/>
          <w:sz w:val="30"/>
          <w:szCs w:val="30"/>
        </w:rPr>
      </w:pPr>
    </w:p>
    <w:p w:rsidR="00C5511A" w:rsidRPr="008F5787" w:rsidRDefault="00C5511A" w:rsidP="002B48F9">
      <w:pPr>
        <w:spacing w:line="560" w:lineRule="exact"/>
        <w:jc w:val="center"/>
        <w:rPr>
          <w:rFonts w:ascii="黑体" w:eastAsia="黑体" w:hAnsi="ˎ̥" w:cs="Tahoma"/>
          <w:kern w:val="0"/>
          <w:sz w:val="30"/>
          <w:szCs w:val="30"/>
        </w:rPr>
      </w:pPr>
      <w:r w:rsidRPr="008F5787">
        <w:rPr>
          <w:rFonts w:ascii="黑体" w:eastAsia="黑体" w:hAnsi="宋体" w:cs="Tahoma" w:hint="eastAsia"/>
          <w:kern w:val="0"/>
          <w:sz w:val="30"/>
          <w:szCs w:val="30"/>
        </w:rPr>
        <w:t>第二章　公司简介</w:t>
      </w:r>
    </w:p>
    <w:bookmarkEnd w:id="0"/>
    <w:p w:rsidR="00C5511A" w:rsidRPr="00847A32" w:rsidRDefault="00C5511A" w:rsidP="002B48F9">
      <w:pPr>
        <w:spacing w:line="560" w:lineRule="exact"/>
        <w:ind w:firstLineChars="200" w:firstLine="600"/>
        <w:rPr>
          <w:rFonts w:ascii="仿宋_GB2312" w:eastAsia="仿宋_GB2312"/>
          <w:sz w:val="30"/>
          <w:szCs w:val="30"/>
        </w:rPr>
      </w:pPr>
      <w:r w:rsidRPr="00847A32">
        <w:rPr>
          <w:rFonts w:ascii="仿宋_GB2312" w:eastAsia="仿宋_GB2312" w:hint="eastAsia"/>
          <w:sz w:val="30"/>
          <w:szCs w:val="30"/>
        </w:rPr>
        <w:t>一、本行简介</w:t>
      </w:r>
    </w:p>
    <w:p w:rsidR="00C5511A" w:rsidRPr="00847A32" w:rsidRDefault="00C5511A" w:rsidP="002B48F9">
      <w:pPr>
        <w:spacing w:line="560" w:lineRule="exact"/>
        <w:ind w:firstLineChars="200" w:firstLine="600"/>
        <w:rPr>
          <w:rFonts w:ascii="仿宋_GB2312" w:eastAsia="仿宋_GB2312"/>
          <w:sz w:val="30"/>
          <w:szCs w:val="30"/>
        </w:rPr>
      </w:pPr>
      <w:r w:rsidRPr="00847A32">
        <w:rPr>
          <w:rFonts w:ascii="仿宋_GB2312" w:eastAsia="仿宋_GB2312" w:hint="eastAsia"/>
          <w:sz w:val="30"/>
          <w:szCs w:val="30"/>
        </w:rPr>
        <w:t>（一）法定名称</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中文名称：天津滨海德商村镇银行股份有限公司（简称“天津滨海德商村镇银行”）</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英文名称：TianJin BinHai DeShang County Bank Co.,Ltd</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（二）法定代表人：曹治中</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（三）本行注册及办公地址：天津滨海新区塘沽福州道1197号、1172号</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邮政编码：300451</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lastRenderedPageBreak/>
        <w:t>（四）本行选定的信息披露方式：</w:t>
      </w:r>
    </w:p>
    <w:p w:rsidR="00C5511A" w:rsidRPr="000055DA" w:rsidRDefault="00C5511A" w:rsidP="000055DA">
      <w:pPr>
        <w:spacing w:line="560" w:lineRule="exact"/>
        <w:ind w:firstLineChars="200" w:firstLine="600"/>
        <w:rPr>
          <w:rFonts w:ascii="仿宋_GB2312" w:eastAsia="仿宋_GB2312" w:hAnsi="ˎ̥" w:cs="Tahoma"/>
          <w:kern w:val="0"/>
          <w:sz w:val="30"/>
          <w:szCs w:val="30"/>
        </w:rPr>
      </w:pPr>
      <w:r w:rsidRPr="000055DA">
        <w:rPr>
          <w:rFonts w:ascii="仿宋_GB2312" w:eastAsia="仿宋_GB2312" w:hAnsi="ˎ̥" w:cs="Tahoma" w:hint="eastAsia"/>
          <w:kern w:val="0"/>
          <w:sz w:val="30"/>
          <w:szCs w:val="30"/>
        </w:rPr>
        <w:t>年度报告摘要披露</w:t>
      </w:r>
      <w:r w:rsidR="002D4AC7" w:rsidRPr="000055DA">
        <w:rPr>
          <w:rFonts w:ascii="仿宋_GB2312" w:eastAsia="仿宋_GB2312" w:hAnsi="ˎ̥" w:cs="Tahoma" w:hint="eastAsia"/>
          <w:kern w:val="0"/>
          <w:sz w:val="30"/>
          <w:szCs w:val="30"/>
        </w:rPr>
        <w:t>网址：www.dsczbank.com</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年度报告备置地点：本行办公室及各主要营业场所</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信息披露事务联系人：穆大卫</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联系电话：15332182119　　传真：022-59265960</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（五）本行聘请的会计师事务所名称及其住址</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名称：浙江同方会计师事务所有限公司</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住址：杭州市马塍路36号3号楼6楼</w:t>
      </w:r>
    </w:p>
    <w:p w:rsidR="00FB32CB" w:rsidRPr="000A51A3" w:rsidRDefault="00FB32CB" w:rsidP="00FB32CB">
      <w:pPr>
        <w:spacing w:line="560" w:lineRule="exact"/>
        <w:ind w:firstLine="57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（六）从业人员构成</w:t>
      </w:r>
      <w:r w:rsidRPr="000A51A3">
        <w:rPr>
          <w:rFonts w:ascii="仿宋_GB2312" w:eastAsia="仿宋_GB2312" w:hAnsi="仿宋_GB2312" w:cs="仿宋_GB2312" w:hint="eastAsia"/>
          <w:color w:val="000000"/>
          <w:kern w:val="0"/>
          <w:sz w:val="30"/>
          <w:szCs w:val="30"/>
        </w:rPr>
        <w:t>情况</w:t>
      </w:r>
    </w:p>
    <w:p w:rsidR="007E4E58" w:rsidRPr="007E4E58" w:rsidRDefault="007E4E58" w:rsidP="007E4E58">
      <w:pPr>
        <w:spacing w:line="560" w:lineRule="exact"/>
        <w:ind w:left="1" w:firstLineChars="202" w:firstLine="606"/>
        <w:rPr>
          <w:rFonts w:ascii="仿宋_GB2312" w:eastAsia="仿宋_GB2312" w:hAnsi="ˎ̥" w:cs="Tahoma"/>
          <w:kern w:val="0"/>
          <w:sz w:val="30"/>
          <w:szCs w:val="30"/>
        </w:rPr>
      </w:pPr>
      <w:r w:rsidRPr="00847A32">
        <w:rPr>
          <w:rFonts w:ascii="仿宋_GB2312" w:eastAsia="仿宋_GB2312" w:hAnsi="ˎ̥" w:cs="Tahoma" w:hint="eastAsia"/>
          <w:kern w:val="0"/>
          <w:sz w:val="30"/>
          <w:szCs w:val="30"/>
        </w:rPr>
        <w:t>至报告期末，本行在岗员工</w:t>
      </w:r>
      <w:r>
        <w:rPr>
          <w:rFonts w:ascii="仿宋_GB2312" w:eastAsia="仿宋_GB2312" w:hAnsi="ˎ̥" w:cs="Tahoma" w:hint="eastAsia"/>
          <w:kern w:val="0"/>
          <w:sz w:val="30"/>
          <w:szCs w:val="30"/>
        </w:rPr>
        <w:t>74</w:t>
      </w:r>
      <w:r w:rsidRPr="00847A32">
        <w:rPr>
          <w:rFonts w:ascii="仿宋_GB2312" w:eastAsia="仿宋_GB2312" w:hAnsi="ˎ̥" w:cs="Tahoma" w:hint="eastAsia"/>
          <w:kern w:val="0"/>
          <w:sz w:val="30"/>
          <w:szCs w:val="30"/>
        </w:rPr>
        <w:t>人。其中：中层以上管理人员</w:t>
      </w:r>
      <w:r>
        <w:rPr>
          <w:rFonts w:ascii="仿宋_GB2312" w:eastAsia="仿宋_GB2312" w:hAnsi="ˎ̥" w:cs="Tahoma" w:hint="eastAsia"/>
          <w:kern w:val="0"/>
          <w:sz w:val="30"/>
          <w:szCs w:val="30"/>
        </w:rPr>
        <w:t>12</w:t>
      </w:r>
      <w:r w:rsidRPr="00847A32">
        <w:rPr>
          <w:rFonts w:ascii="仿宋_GB2312" w:eastAsia="仿宋_GB2312" w:hAnsi="ˎ̥" w:cs="Tahoma" w:hint="eastAsia"/>
          <w:kern w:val="0"/>
          <w:sz w:val="30"/>
          <w:szCs w:val="30"/>
        </w:rPr>
        <w:t>人，占在岗员工的</w:t>
      </w:r>
      <w:r>
        <w:rPr>
          <w:rFonts w:ascii="仿宋_GB2312" w:eastAsia="仿宋_GB2312" w:hAnsi="ˎ̥" w:cs="Tahoma" w:hint="eastAsia"/>
          <w:kern w:val="0"/>
          <w:sz w:val="30"/>
          <w:szCs w:val="30"/>
        </w:rPr>
        <w:t>16.2</w:t>
      </w:r>
      <w:r w:rsidRPr="00847A32">
        <w:rPr>
          <w:rFonts w:ascii="仿宋_GB2312" w:eastAsia="仿宋_GB2312" w:hAnsi="ˎ̥" w:cs="Tahoma" w:hint="eastAsia"/>
          <w:kern w:val="0"/>
          <w:sz w:val="30"/>
          <w:szCs w:val="30"/>
        </w:rPr>
        <w:t>%；大学及以上学历</w:t>
      </w:r>
      <w:r>
        <w:rPr>
          <w:rFonts w:ascii="仿宋_GB2312" w:eastAsia="仿宋_GB2312" w:hAnsi="ˎ̥" w:cs="Tahoma" w:hint="eastAsia"/>
          <w:kern w:val="0"/>
          <w:sz w:val="30"/>
          <w:szCs w:val="30"/>
        </w:rPr>
        <w:t>69</w:t>
      </w:r>
      <w:r w:rsidRPr="00847A32">
        <w:rPr>
          <w:rFonts w:ascii="仿宋_GB2312" w:eastAsia="仿宋_GB2312" w:hAnsi="ˎ̥" w:cs="Tahoma" w:hint="eastAsia"/>
          <w:kern w:val="0"/>
          <w:sz w:val="30"/>
          <w:szCs w:val="30"/>
        </w:rPr>
        <w:t>人，占在岗员工的93.</w:t>
      </w:r>
      <w:r>
        <w:rPr>
          <w:rFonts w:ascii="仿宋_GB2312" w:eastAsia="仿宋_GB2312" w:hAnsi="ˎ̥" w:cs="Tahoma" w:hint="eastAsia"/>
          <w:kern w:val="0"/>
          <w:sz w:val="30"/>
          <w:szCs w:val="30"/>
        </w:rPr>
        <w:t>2</w:t>
      </w:r>
      <w:r w:rsidRPr="00847A32">
        <w:rPr>
          <w:rFonts w:ascii="仿宋_GB2312" w:eastAsia="仿宋_GB2312" w:hAnsi="ˎ̥" w:cs="Tahoma" w:hint="eastAsia"/>
          <w:kern w:val="0"/>
          <w:sz w:val="30"/>
          <w:szCs w:val="30"/>
        </w:rPr>
        <w:t>%；大专及以下学历</w:t>
      </w:r>
      <w:r>
        <w:rPr>
          <w:rFonts w:ascii="仿宋_GB2312" w:eastAsia="仿宋_GB2312" w:hAnsi="ˎ̥" w:cs="Tahoma" w:hint="eastAsia"/>
          <w:kern w:val="0"/>
          <w:sz w:val="30"/>
          <w:szCs w:val="30"/>
        </w:rPr>
        <w:t>5</w:t>
      </w:r>
      <w:r w:rsidRPr="00847A32">
        <w:rPr>
          <w:rFonts w:ascii="仿宋_GB2312" w:eastAsia="仿宋_GB2312" w:hAnsi="ˎ̥" w:cs="Tahoma" w:hint="eastAsia"/>
          <w:kern w:val="0"/>
          <w:sz w:val="30"/>
          <w:szCs w:val="30"/>
        </w:rPr>
        <w:t>人，占在岗员工的6.</w:t>
      </w:r>
      <w:r>
        <w:rPr>
          <w:rFonts w:ascii="仿宋_GB2312" w:eastAsia="仿宋_GB2312" w:hAnsi="ˎ̥" w:cs="Tahoma" w:hint="eastAsia"/>
          <w:kern w:val="0"/>
          <w:sz w:val="30"/>
          <w:szCs w:val="30"/>
        </w:rPr>
        <w:t>8</w:t>
      </w:r>
      <w:r w:rsidRPr="00847A32">
        <w:rPr>
          <w:rFonts w:ascii="仿宋_GB2312" w:eastAsia="仿宋_GB2312" w:hAnsi="ˎ̥" w:cs="Tahoma" w:hint="eastAsia"/>
          <w:kern w:val="0"/>
          <w:sz w:val="30"/>
          <w:szCs w:val="30"/>
        </w:rPr>
        <w:t>%。</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w:t>
      </w:r>
      <w:r w:rsidR="00FB32CB">
        <w:rPr>
          <w:rFonts w:ascii="仿宋_GB2312" w:eastAsia="仿宋_GB2312" w:hAnsi="ˎ̥" w:cs="Tahoma" w:hint="eastAsia"/>
          <w:kern w:val="0"/>
          <w:sz w:val="30"/>
          <w:szCs w:val="30"/>
        </w:rPr>
        <w:t>七</w:t>
      </w:r>
      <w:r w:rsidRPr="00847A32">
        <w:rPr>
          <w:rFonts w:ascii="仿宋_GB2312" w:eastAsia="仿宋_GB2312" w:hAnsi="ˎ̥" w:cs="Tahoma" w:hint="eastAsia"/>
          <w:kern w:val="0"/>
          <w:sz w:val="30"/>
          <w:szCs w:val="30"/>
        </w:rPr>
        <w:t>）其他有关资料：</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本行注册登记日期：2014年7月8日</w:t>
      </w:r>
    </w:p>
    <w:p w:rsidR="00C5511A" w:rsidRPr="00847A32" w:rsidRDefault="00C5511A" w:rsidP="002B48F9">
      <w:pPr>
        <w:spacing w:line="560" w:lineRule="exact"/>
        <w:ind w:firstLineChars="200" w:firstLine="600"/>
        <w:rPr>
          <w:rFonts w:ascii="仿宋_GB2312" w:eastAsia="仿宋_GB2312" w:hAnsi="ˎ̥" w:cs="Tahoma"/>
          <w:color w:val="FF0000"/>
          <w:kern w:val="0"/>
          <w:sz w:val="30"/>
          <w:szCs w:val="30"/>
        </w:rPr>
      </w:pPr>
      <w:r w:rsidRPr="00847A32">
        <w:rPr>
          <w:rFonts w:ascii="仿宋_GB2312" w:eastAsia="仿宋_GB2312" w:hAnsi="ˎ̥" w:cs="Tahoma" w:hint="eastAsia"/>
          <w:kern w:val="0"/>
          <w:sz w:val="30"/>
          <w:szCs w:val="30"/>
        </w:rPr>
        <w:t>注</w:t>
      </w:r>
      <w:r w:rsidRPr="00847A32">
        <w:rPr>
          <w:rFonts w:ascii="仿宋_GB2312" w:eastAsia="仿宋_GB2312" w:hAnsi="ˎ̥" w:cs="Tahoma" w:hint="eastAsia"/>
          <w:color w:val="000000"/>
          <w:kern w:val="0"/>
          <w:sz w:val="30"/>
          <w:szCs w:val="30"/>
        </w:rPr>
        <w:t>册资金：30300</w:t>
      </w:r>
      <w:r w:rsidRPr="00847A32">
        <w:rPr>
          <w:rFonts w:ascii="仿宋_GB2312" w:eastAsia="仿宋_GB2312" w:hAnsi="ˎ̥" w:cs="Tahoma" w:hint="eastAsia"/>
          <w:kern w:val="0"/>
          <w:sz w:val="30"/>
          <w:szCs w:val="30"/>
        </w:rPr>
        <w:t>万元</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企业法人营业执照注册号：91120116300796346T</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金融许可证编号：S0013H212000001</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二、本行组织结构</w:t>
      </w:r>
    </w:p>
    <w:p w:rsidR="00C5511A" w:rsidRPr="00847A32" w:rsidRDefault="00C5511A" w:rsidP="002B48F9">
      <w:pPr>
        <w:spacing w:line="560" w:lineRule="exact"/>
        <w:ind w:firstLineChars="200" w:firstLine="600"/>
        <w:rPr>
          <w:rFonts w:ascii="仿宋_GB2312" w:eastAsia="仿宋_GB2312" w:hAnsi="ˎ̥" w:cs="Tahoma"/>
          <w:kern w:val="0"/>
          <w:sz w:val="30"/>
          <w:szCs w:val="30"/>
        </w:rPr>
      </w:pPr>
    </w:p>
    <w:p w:rsidR="00C5511A" w:rsidRPr="00847A32" w:rsidRDefault="00C5511A" w:rsidP="002B48F9">
      <w:pPr>
        <w:spacing w:line="560" w:lineRule="exact"/>
        <w:ind w:firstLineChars="200" w:firstLine="560"/>
        <w:rPr>
          <w:rFonts w:ascii="仿宋_GB2312" w:eastAsia="仿宋_GB2312" w:hAnsi="ˎ̥" w:cs="Tahoma"/>
          <w:kern w:val="0"/>
          <w:sz w:val="28"/>
          <w:szCs w:val="28"/>
        </w:rPr>
      </w:pPr>
    </w:p>
    <w:p w:rsidR="00C5511A" w:rsidRPr="00847A32" w:rsidRDefault="00C5511A" w:rsidP="00047AF7">
      <w:pPr>
        <w:spacing w:line="560" w:lineRule="exact"/>
        <w:rPr>
          <w:rFonts w:ascii="仿宋_GB2312" w:eastAsia="仿宋_GB2312" w:hAnsi="ˎ̥" w:cs="Tahoma"/>
          <w:kern w:val="0"/>
          <w:sz w:val="28"/>
          <w:szCs w:val="28"/>
        </w:rPr>
      </w:pPr>
    </w:p>
    <w:p w:rsidR="00C5511A" w:rsidRPr="00847A32" w:rsidRDefault="00C5511A" w:rsidP="002B48F9">
      <w:pPr>
        <w:spacing w:line="560" w:lineRule="exact"/>
        <w:rPr>
          <w:rFonts w:ascii="仿宋_GB2312" w:eastAsia="仿宋_GB2312" w:hAnsi="ˎ̥" w:cs="Tahoma"/>
          <w:kern w:val="0"/>
          <w:sz w:val="28"/>
          <w:szCs w:val="28"/>
        </w:rPr>
        <w:sectPr w:rsidR="00C5511A" w:rsidRPr="00847A32">
          <w:headerReference w:type="even" r:id="rId8"/>
          <w:headerReference w:type="default" r:id="rId9"/>
          <w:pgSz w:w="11906" w:h="16838"/>
          <w:pgMar w:top="2098" w:right="1474" w:bottom="1985" w:left="1588" w:header="851" w:footer="992" w:gutter="0"/>
          <w:cols w:space="720"/>
          <w:docGrid w:type="linesAndChars" w:linePitch="287"/>
        </w:sectPr>
      </w:pPr>
    </w:p>
    <w:p w:rsidR="00B86804" w:rsidRPr="00F624B7" w:rsidRDefault="0056038F" w:rsidP="00B86804">
      <w:r>
        <w:rPr>
          <w:noProof/>
        </w:rPr>
        <w:lastRenderedPageBreak/>
        <w:pict>
          <v:line id="_x0000_s2180" style="position:absolute;left:0;text-align:left;z-index:251670528" from="333pt,75.15pt" to="513pt,75.15pt" strokecolor="#36f" strokeweight="1.5pt">
            <v:stroke dashstyle="dash"/>
          </v:line>
        </w:pict>
      </w:r>
      <w:r>
        <w:rPr>
          <w:noProof/>
        </w:rPr>
        <w:pict>
          <v:line id="_x0000_s2177" style="position:absolute;left:0;text-align:left;z-index:251667456" from="234pt,75.15pt" to="333pt,75.15pt" strokecolor="#36f" strokeweight="1.5pt"/>
        </w:pict>
      </w:r>
      <w:r>
        <w:rPr>
          <w:noProof/>
        </w:rPr>
        <w:pict>
          <v:shapetype id="_x0000_t202" coordsize="21600,21600" o:spt="202" path="m,l,21600r21600,l21600,xe">
            <v:stroke joinstyle="miter"/>
            <v:path gradientshapeok="t" o:connecttype="rect"/>
          </v:shapetype>
          <v:shape id="_x0000_s2173" type="#_x0000_t202" style="position:absolute;left:0;text-align:left;margin-left:513.75pt;margin-top:62.4pt;width:171pt;height:23.4pt;z-index:251663360" strokeweight="1.5pt">
            <v:textbox style="mso-next-textbox:#_x0000_s2173">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监事会</w:t>
                  </w:r>
                </w:p>
              </w:txbxContent>
            </v:textbox>
          </v:shape>
        </w:pict>
      </w:r>
      <w:r>
        <w:rPr>
          <w:noProof/>
        </w:rPr>
        <w:pict>
          <v:line id="_x0000_s2176" style="position:absolute;left:0;text-align:left;z-index:251666432" from="598.5pt,23.55pt" to="598.5pt,62.55pt" strokecolor="#36f" strokeweight="1.5pt"/>
        </w:pict>
      </w:r>
      <w:r>
        <w:rPr>
          <w:noProof/>
        </w:rPr>
        <w:pict>
          <v:shape id="_x0000_s2174" type="#_x0000_t202" style="position:absolute;left:0;text-align:left;margin-left:63pt;margin-top:62.7pt;width:171pt;height:23.4pt;z-index:251664384" strokeweight="1.5pt">
            <v:textbox style="mso-next-textbox:#_x0000_s2174">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董事会</w:t>
                  </w:r>
                </w:p>
              </w:txbxContent>
            </v:textbox>
          </v:shape>
        </w:pict>
      </w:r>
      <w:r>
        <w:rPr>
          <w:noProof/>
        </w:rPr>
        <w:pict>
          <v:line id="_x0000_s2175" style="position:absolute;left:0;text-align:left;z-index:251665408" from="148.5pt,23.55pt" to="148.5pt,62.55pt" strokecolor="#36f" strokeweight="1.5pt"/>
        </w:pict>
      </w:r>
      <w:r>
        <w:rPr>
          <w:noProof/>
        </w:rPr>
        <w:pict>
          <v:line id="_x0000_s2170" style="position:absolute;left:0;text-align:left;z-index:251660288" from="148.5pt,23.55pt" to="301.5pt,23.55pt" strokecolor="#36f" strokeweight="1.5pt"/>
        </w:pict>
      </w:r>
      <w:r>
        <w:rPr>
          <w:noProof/>
        </w:rPr>
        <w:pict>
          <v:shape id="_x0000_s2172" type="#_x0000_t202" style="position:absolute;left:0;text-align:left;margin-left:301.35pt;margin-top:10.8pt;width:171pt;height:23.4pt;z-index:251662336" strokeweight="1.5pt">
            <v:textbox style="mso-next-textbox:#_x0000_s2172">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股东大会</w:t>
                  </w:r>
                </w:p>
              </w:txbxContent>
            </v:textbox>
          </v:shape>
        </w:pict>
      </w:r>
      <w:r>
        <w:rPr>
          <w:noProof/>
        </w:rPr>
        <w:pict>
          <v:line id="_x0000_s2171" style="position:absolute;left:0;text-align:left;z-index:251661312" from="472.5pt,23.55pt" to="598.5pt,23.55pt" strokecolor="#36f" strokeweight="1.5pt"/>
        </w:pict>
      </w:r>
    </w:p>
    <w:p w:rsidR="00B86804" w:rsidRPr="00F624B7" w:rsidRDefault="00B86804" w:rsidP="00B86804"/>
    <w:p w:rsidR="00B86804" w:rsidRPr="00F624B7" w:rsidRDefault="00B86804" w:rsidP="00B86804"/>
    <w:p w:rsidR="00B86804" w:rsidRPr="00F624B7" w:rsidRDefault="00B86804" w:rsidP="00B86804"/>
    <w:p w:rsidR="00B86804" w:rsidRPr="00F624B7" w:rsidRDefault="00B86804" w:rsidP="00B86804"/>
    <w:p w:rsidR="00B86804" w:rsidRPr="00F624B7" w:rsidRDefault="0056038F" w:rsidP="00B86804">
      <w:r>
        <w:rPr>
          <w:noProof/>
        </w:rPr>
        <w:pict>
          <v:line id="_x0000_s2178" style="position:absolute;left:0;text-align:left;flip:x;z-index:251668480" from="332.85pt,4pt" to="333pt,96.7pt" strokecolor="#36f" strokeweight="1.5pt"/>
        </w:pict>
      </w:r>
    </w:p>
    <w:p w:rsidR="00B86804" w:rsidRPr="00F624B7" w:rsidRDefault="0056038F" w:rsidP="00B86804">
      <w:r>
        <w:rPr>
          <w:noProof/>
        </w:rPr>
        <w:pict>
          <v:line id="_x0000_s2220" style="position:absolute;left:0;text-align:left;flip:x;z-index:251711488" from="148.5pt,.7pt" to="148.5pt,24.1pt" strokecolor="#36f" strokeweight="1.5pt"/>
        </w:pict>
      </w:r>
    </w:p>
    <w:p w:rsidR="00B86804" w:rsidRPr="00F624B7" w:rsidRDefault="0056038F" w:rsidP="00B86804">
      <w:r>
        <w:rPr>
          <w:noProof/>
        </w:rPr>
        <w:pict>
          <v:shape id="_x0000_s2221" type="#_x0000_t202" style="position:absolute;left:0;text-align:left;margin-left:72.1pt;margin-top:9.75pt;width:150.65pt;height:23.4pt;z-index:251712512" strokeweight="1.5pt">
            <v:textbox style="mso-next-textbox:#_x0000_s2221">
              <w:txbxContent>
                <w:p w:rsidR="00E661F3" w:rsidRPr="000620A9" w:rsidRDefault="00E661F3" w:rsidP="00B86804">
                  <w:pPr>
                    <w:rPr>
                      <w:sz w:val="22"/>
                      <w:szCs w:val="22"/>
                    </w:rPr>
                  </w:pPr>
                  <w:r>
                    <w:rPr>
                      <w:rFonts w:ascii="仿宋_GB2312" w:eastAsia="仿宋_GB2312" w:hAnsi="Arial" w:cs="Arial" w:hint="eastAsia"/>
                      <w:sz w:val="22"/>
                      <w:szCs w:val="22"/>
                    </w:rPr>
                    <w:t>董事会</w:t>
                  </w:r>
                  <w:r w:rsidRPr="000620A9">
                    <w:rPr>
                      <w:rFonts w:ascii="仿宋_GB2312" w:eastAsia="仿宋_GB2312" w:hAnsi="Arial" w:cs="Arial" w:hint="eastAsia"/>
                      <w:sz w:val="22"/>
                      <w:szCs w:val="22"/>
                    </w:rPr>
                    <w:t>关联交易控制委员会</w:t>
                  </w:r>
                </w:p>
              </w:txbxContent>
            </v:textbox>
          </v:shape>
        </w:pict>
      </w:r>
    </w:p>
    <w:p w:rsidR="00B86804" w:rsidRPr="00F624B7" w:rsidRDefault="0056038F" w:rsidP="00B86804">
      <w:r>
        <w:rPr>
          <w:noProof/>
        </w:rPr>
        <w:pict>
          <v:shape id="_x0000_s2201" type="#_x0000_t202" style="position:absolute;left:0;text-align:left;margin-left:536.25pt;margin-top:9.5pt;width:129pt;height:23.4pt;z-index:251692032" strokeweight="1.5pt">
            <v:textbox style="mso-next-textbox:#_x0000_s2201">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资产负债管理委员会</w:t>
                  </w:r>
                </w:p>
              </w:txbxContent>
            </v:textbox>
          </v:shape>
        </w:pict>
      </w:r>
    </w:p>
    <w:p w:rsidR="00B86804" w:rsidRPr="00F624B7" w:rsidRDefault="0056038F" w:rsidP="00B86804">
      <w:r>
        <w:rPr>
          <w:noProof/>
        </w:rPr>
        <w:pict>
          <v:line id="_x0000_s2200" style="position:absolute;left:0;text-align:left;z-index:251691008" from="508.65pt,9.6pt" to="535.65pt,9.6pt" strokecolor="#36f" strokeweight="1.5pt"/>
        </w:pict>
      </w:r>
      <w:r>
        <w:rPr>
          <w:noProof/>
        </w:rPr>
        <w:pict>
          <v:line id="_x0000_s2202" style="position:absolute;left:0;text-align:left;z-index:251693056" from="509.25pt,9.6pt" to="509.25pt,95.4pt" strokecolor="#36f" strokeweight="1.5pt"/>
        </w:pict>
      </w:r>
      <w:r>
        <w:rPr>
          <w:noProof/>
        </w:rPr>
        <w:pict>
          <v:shape id="_x0000_s2184" type="#_x0000_t202" style="position:absolute;left:0;text-align:left;margin-left:537pt;margin-top:37.65pt;width:129pt;height:23.4pt;z-index:251674624" strokeweight="1.5pt">
            <v:textbox style="mso-next-textbox:#_x0000_s2184">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考核与评审委员会</w:t>
                  </w:r>
                </w:p>
              </w:txbxContent>
            </v:textbox>
          </v:shape>
        </w:pict>
      </w:r>
      <w:r>
        <w:rPr>
          <w:noProof/>
        </w:rPr>
        <w:pict>
          <v:line id="_x0000_s2182" style="position:absolute;left:0;text-align:left;z-index:251672576" from="509.25pt,50.45pt" to="536.25pt,50.45pt" strokecolor="#36f" strokeweight="1.5pt"/>
        </w:pict>
      </w:r>
    </w:p>
    <w:p w:rsidR="00B86804" w:rsidRPr="00F624B7" w:rsidRDefault="0056038F" w:rsidP="00B86804">
      <w:r>
        <w:rPr>
          <w:noProof/>
        </w:rPr>
        <w:pict>
          <v:shape id="_x0000_s2219" type="#_x0000_t202" style="position:absolute;left:0;text-align:left;margin-left:11.55pt;margin-top:87.8pt;width:118.95pt;height:23.4pt;z-index:251710464" strokeweight="1.5pt">
            <v:textbox style="mso-next-textbox:#_x0000_s2219">
              <w:txbxContent>
                <w:p w:rsidR="00E661F3" w:rsidRPr="00897302" w:rsidRDefault="00E661F3" w:rsidP="00B86804">
                  <w:pPr>
                    <w:jc w:val="center"/>
                    <w:rPr>
                      <w:rFonts w:ascii="仿宋_GB2312" w:eastAsia="仿宋_GB2312"/>
                      <w:sz w:val="22"/>
                      <w:szCs w:val="22"/>
                    </w:rPr>
                  </w:pPr>
                  <w:r>
                    <w:rPr>
                      <w:rFonts w:ascii="仿宋_GB2312" w:eastAsia="仿宋_GB2312" w:hint="eastAsia"/>
                      <w:sz w:val="22"/>
                      <w:szCs w:val="22"/>
                    </w:rPr>
                    <w:t>授信审批委员会</w:t>
                  </w:r>
                </w:p>
              </w:txbxContent>
            </v:textbox>
          </v:shape>
        </w:pict>
      </w:r>
      <w:r>
        <w:rPr>
          <w:noProof/>
        </w:rPr>
        <w:pict>
          <v:shape id="_x0000_s2218" type="#_x0000_t202" style="position:absolute;left:0;text-align:left;margin-left:11.55pt;margin-top:56.8pt;width:118.95pt;height:23.4pt;z-index:251709440" strokeweight="1.5pt">
            <v:textbox style="mso-next-textbox:#_x0000_s2218">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财务审批委员会</w:t>
                  </w:r>
                </w:p>
              </w:txbxContent>
            </v:textbox>
          </v:shape>
        </w:pict>
      </w:r>
      <w:r>
        <w:rPr>
          <w:noProof/>
        </w:rPr>
        <w:pict>
          <v:line id="_x0000_s2212" style="position:absolute;left:0;text-align:left;z-index:251703296" from="130.5pt,103.4pt" to="157.5pt,103.4pt" strokecolor="#36f" strokeweight="1.5pt"/>
        </w:pict>
      </w:r>
      <w:r>
        <w:rPr>
          <w:noProof/>
        </w:rPr>
        <w:pict>
          <v:line id="_x0000_s2213" style="position:absolute;left:0;text-align:left;z-index:251704320" from="131.25pt,13.2pt" to="158.25pt,13.2pt" strokecolor="#36f" strokeweight="1.5pt"/>
        </w:pict>
      </w:r>
      <w:r>
        <w:rPr>
          <w:noProof/>
        </w:rPr>
        <w:pict>
          <v:line id="_x0000_s2211" style="position:absolute;left:0;text-align:left;z-index:251702272" from="130.5pt,42.3pt" to="157.5pt,42.3pt" strokecolor="#36f" strokeweight="1.5pt"/>
        </w:pict>
      </w:r>
      <w:r>
        <w:rPr>
          <w:noProof/>
        </w:rPr>
        <w:pict>
          <v:line id="_x0000_s2215" style="position:absolute;left:0;text-align:left;z-index:251706368" from="130.5pt,69.6pt" to="157.5pt,69.6pt" strokecolor="#36f" strokeweight="1.5pt"/>
        </w:pict>
      </w:r>
      <w:r>
        <w:rPr>
          <w:noProof/>
        </w:rPr>
        <w:pict>
          <v:shape id="_x0000_s2216" type="#_x0000_t202" style="position:absolute;left:0;text-align:left;margin-left:11.55pt;margin-top:1.5pt;width:118.95pt;height:23.4pt;z-index:251707392" strokeweight="1.5pt">
            <v:textbox style="mso-next-textbox:#_x0000_s2216">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风险控制委员会</w:t>
                  </w:r>
                </w:p>
              </w:txbxContent>
            </v:textbox>
          </v:shape>
        </w:pict>
      </w:r>
      <w:r>
        <w:rPr>
          <w:noProof/>
        </w:rPr>
        <w:pict>
          <v:line id="_x0000_s2214" style="position:absolute;left:0;text-align:left;z-index:251705344" from="157.5pt,12.3pt" to="157.5pt,103.4pt" strokecolor="#36f" strokeweight="1.5pt"/>
        </w:pict>
      </w:r>
      <w:r>
        <w:rPr>
          <w:noProof/>
        </w:rPr>
        <w:pict>
          <v:shape id="_x0000_s2217" type="#_x0000_t202" style="position:absolute;left:0;text-align:left;margin-left:11.55pt;margin-top:28.65pt;width:118.95pt;height:23.4pt;z-index:251708416" strokeweight="1.5pt">
            <v:textbox style="mso-next-textbox:#_x0000_s2217">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大额采购管理委员会</w:t>
                  </w:r>
                </w:p>
              </w:txbxContent>
            </v:textbox>
          </v:shape>
        </w:pict>
      </w:r>
    </w:p>
    <w:p w:rsidR="00B86804" w:rsidRPr="00F624B7" w:rsidRDefault="0056038F" w:rsidP="00B86804">
      <w:pPr>
        <w:tabs>
          <w:tab w:val="left" w:pos="10980"/>
        </w:tabs>
      </w:pPr>
      <w:r>
        <w:rPr>
          <w:noProof/>
        </w:rPr>
        <w:pict>
          <v:shape id="_x0000_s2179" type="#_x0000_t202" style="position:absolute;left:0;text-align:left;margin-left:247.5pt;margin-top:10.6pt;width:171pt;height:23.4pt;z-index:251669504" strokeweight="1.5pt">
            <v:textbox style="mso-next-textbox:#_x0000_s2179">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高级管理层</w:t>
                  </w:r>
                </w:p>
              </w:txbxContent>
            </v:textbox>
          </v:shape>
        </w:pict>
      </w:r>
      <w:r w:rsidR="00B86804" w:rsidRPr="00F624B7">
        <w:tab/>
      </w:r>
    </w:p>
    <w:p w:rsidR="00B86804" w:rsidRPr="00F624B7" w:rsidRDefault="0056038F" w:rsidP="00B86804">
      <w:r>
        <w:rPr>
          <w:noProof/>
        </w:rPr>
        <w:pict>
          <v:line id="_x0000_s2181" style="position:absolute;left:0;text-align:left;z-index:251671552" from="418.5pt,7.3pt" to="508.5pt,7.3pt" strokecolor="#36f" strokeweight="1.5pt"/>
        </w:pict>
      </w:r>
      <w:r>
        <w:rPr>
          <w:noProof/>
        </w:rPr>
        <w:pict>
          <v:line id="_x0000_s2210" style="position:absolute;left:0;text-align:left;z-index:251701248" from="157.2pt,8.35pt" to="247.2pt,8.35pt" strokecolor="#36f" strokeweight="1.5pt"/>
        </w:pict>
      </w:r>
    </w:p>
    <w:p w:rsidR="00B86804" w:rsidRPr="00F624B7" w:rsidRDefault="0056038F" w:rsidP="00B86804">
      <w:r>
        <w:rPr>
          <w:noProof/>
        </w:rPr>
        <w:pict>
          <v:line id="_x0000_s2203" style="position:absolute;left:0;text-align:left;z-index:251694080" from="332.85pt,4.4pt" to="333pt,46.2pt" strokecolor="#36f" strokeweight="1.5pt"/>
        </w:pict>
      </w:r>
    </w:p>
    <w:p w:rsidR="00B86804" w:rsidRPr="00F624B7" w:rsidRDefault="0056038F" w:rsidP="00B86804">
      <w:r>
        <w:rPr>
          <w:noProof/>
        </w:rPr>
        <w:pict>
          <v:shape id="_x0000_s2185" type="#_x0000_t202" style="position:absolute;left:0;text-align:left;margin-left:537pt;margin-top:9.3pt;width:129pt;height:23.4pt;z-index:251675648" strokeweight="1.5pt">
            <v:textbox style="mso-next-textbox:#_x0000_s2185">
              <w:txbxContent>
                <w:p w:rsidR="00E661F3" w:rsidRPr="00135EE5" w:rsidRDefault="00E661F3" w:rsidP="00B86804">
                  <w:pPr>
                    <w:jc w:val="center"/>
                    <w:rPr>
                      <w:rFonts w:ascii="仿宋_GB2312" w:eastAsia="仿宋_GB2312"/>
                      <w:sz w:val="22"/>
                      <w:szCs w:val="22"/>
                    </w:rPr>
                  </w:pPr>
                  <w:r>
                    <w:rPr>
                      <w:rFonts w:ascii="仿宋_GB2312" w:eastAsia="仿宋_GB2312" w:hint="eastAsia"/>
                      <w:sz w:val="22"/>
                      <w:szCs w:val="22"/>
                    </w:rPr>
                    <w:t>营销与创新委员会</w:t>
                  </w:r>
                </w:p>
              </w:txbxContent>
            </v:textbox>
          </v:shape>
        </w:pict>
      </w:r>
    </w:p>
    <w:p w:rsidR="00B86804" w:rsidRPr="00F624B7" w:rsidRDefault="0056038F" w:rsidP="00B86804">
      <w:r>
        <w:rPr>
          <w:noProof/>
        </w:rPr>
        <w:pict>
          <v:line id="_x0000_s2183" style="position:absolute;left:0;text-align:left;z-index:251673600" from="509.25pt,9.2pt" to="536.25pt,9.2pt" strokecolor="#36f" strokeweight="1.5pt"/>
        </w:pict>
      </w:r>
    </w:p>
    <w:p w:rsidR="00B86804" w:rsidRPr="00F624B7" w:rsidRDefault="0056038F" w:rsidP="00B86804">
      <w:r>
        <w:rPr>
          <w:noProof/>
        </w:rPr>
        <w:pict>
          <v:line id="_x0000_s2204" style="position:absolute;left:0;text-align:left;z-index:251695104" from="193.9pt,3.15pt" to="505.95pt,4.5pt" strokecolor="#36f" strokeweight="1.5pt"/>
        </w:pict>
      </w:r>
      <w:r>
        <w:rPr>
          <w:noProof/>
        </w:rPr>
        <w:pict>
          <v:line id="_x0000_s2222" style="position:absolute;left:0;text-align:left;z-index:251713536" from="505.95pt,4.5pt" to="505.95pt,37pt" strokecolor="#36f" strokeweight="1.5pt"/>
        </w:pict>
      </w:r>
      <w:r>
        <w:rPr>
          <w:noProof/>
        </w:rPr>
        <w:pict>
          <v:line id="_x0000_s2205" style="position:absolute;left:0;text-align:left;z-index:251696128" from="194.6pt,2.5pt" to="194.6pt,32.4pt" strokecolor="#36f" strokeweight="1.5pt"/>
        </w:pict>
      </w:r>
    </w:p>
    <w:p w:rsidR="00B86804" w:rsidRPr="00F624B7" w:rsidRDefault="00B86804" w:rsidP="00B86804"/>
    <w:p w:rsidR="00B86804" w:rsidRPr="00F624B7" w:rsidRDefault="0056038F" w:rsidP="00B86804">
      <w:r w:rsidRPr="0056038F">
        <w:rPr>
          <w:noProof/>
          <w:sz w:val="28"/>
          <w:szCs w:val="28"/>
        </w:rPr>
        <w:pict>
          <v:line id="_x0000_s2207" style="position:absolute;left:0;text-align:left;flip:y;z-index:251698176" from="389.7pt,7.2pt" to="622.1pt,8.4pt" strokecolor="#36f" strokeweight="1.5pt"/>
        </w:pict>
      </w:r>
      <w:r>
        <w:rPr>
          <w:noProof/>
        </w:rPr>
        <w:pict>
          <v:shape id="_x0000_s2190" type="#_x0000_t202" style="position:absolute;left:0;text-align:left;margin-left:465.35pt;margin-top:31.45pt;width:36pt;height:109.2pt;z-index:251680768" strokeweight="1.5pt">
            <v:textbox style="layout-flow:vertical-ideographic;mso-next-textbox:#_x0000_s2190">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向阳支行</w:t>
                  </w:r>
                </w:p>
              </w:txbxContent>
            </v:textbox>
          </v:shape>
        </w:pict>
      </w:r>
      <w:r>
        <w:rPr>
          <w:noProof/>
        </w:rPr>
        <w:pict>
          <v:shape id="_x0000_s2191" type="#_x0000_t202" style="position:absolute;left:0;text-align:left;margin-left:418.85pt;margin-top:31.45pt;width:36pt;height:109.2pt;z-index:251681792" strokeweight="1.5pt">
            <v:textbox style="layout-flow:vertical-ideographic;mso-next-textbox:#_x0000_s2191">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新港路支行</w:t>
                  </w:r>
                </w:p>
              </w:txbxContent>
            </v:textbox>
          </v:shape>
        </w:pict>
      </w:r>
      <w:r w:rsidRPr="0056038F">
        <w:rPr>
          <w:rFonts w:ascii="仿宋_GB2312" w:eastAsia="仿宋_GB2312" w:hAnsi="宋体"/>
          <w:b/>
          <w:noProof/>
          <w:sz w:val="32"/>
          <w:szCs w:val="32"/>
        </w:rPr>
        <w:pict>
          <v:shape id="_x0000_s2209" type="#_x0000_t202" style="position:absolute;left:0;text-align:left;margin-left:559.55pt;margin-top:31.45pt;width:36pt;height:109.2pt;z-index:251700224" strokeweight="1.5pt">
            <v:textbox style="layout-flow:vertical-ideographic;mso-next-textbox:#_x0000_s2209">
              <w:txbxContent>
                <w:p w:rsidR="00E661F3" w:rsidRPr="00135EE5" w:rsidRDefault="00E661F3" w:rsidP="00B86804">
                  <w:pPr>
                    <w:jc w:val="center"/>
                    <w:rPr>
                      <w:rFonts w:ascii="仿宋_GB2312" w:eastAsia="仿宋_GB2312"/>
                      <w:sz w:val="22"/>
                      <w:szCs w:val="22"/>
                    </w:rPr>
                  </w:pPr>
                  <w:r>
                    <w:rPr>
                      <w:rFonts w:ascii="仿宋_GB2312" w:eastAsia="仿宋_GB2312" w:hint="eastAsia"/>
                      <w:sz w:val="22"/>
                      <w:szCs w:val="22"/>
                    </w:rPr>
                    <w:t>中塘支行</w:t>
                  </w:r>
                </w:p>
              </w:txbxContent>
            </v:textbox>
          </v:shape>
        </w:pict>
      </w:r>
      <w:r w:rsidRPr="0056038F">
        <w:rPr>
          <w:rFonts w:ascii="仿宋_GB2312" w:eastAsia="仿宋_GB2312" w:hAnsi="宋体"/>
          <w:b/>
          <w:noProof/>
          <w:sz w:val="32"/>
          <w:szCs w:val="32"/>
        </w:rPr>
        <w:pict>
          <v:shape id="_x0000_s2224" type="#_x0000_t202" style="position:absolute;left:0;text-align:left;margin-left:606.15pt;margin-top:31.45pt;width:36pt;height:109.2pt;z-index:251715584" strokeweight="1.5pt">
            <v:textbox style="layout-flow:vertical-ideographic;mso-next-textbox:#_x0000_s2224">
              <w:txbxContent>
                <w:p w:rsidR="00E661F3" w:rsidRPr="00135EE5" w:rsidRDefault="00E661F3" w:rsidP="00B86804">
                  <w:pPr>
                    <w:jc w:val="center"/>
                    <w:rPr>
                      <w:rFonts w:ascii="仿宋_GB2312" w:eastAsia="仿宋_GB2312"/>
                      <w:sz w:val="22"/>
                      <w:szCs w:val="22"/>
                    </w:rPr>
                  </w:pPr>
                  <w:r>
                    <w:rPr>
                      <w:rFonts w:ascii="仿宋_GB2312" w:eastAsia="仿宋_GB2312" w:hint="eastAsia"/>
                      <w:sz w:val="22"/>
                      <w:szCs w:val="22"/>
                    </w:rPr>
                    <w:t>新城</w:t>
                  </w:r>
                  <w:r w:rsidRPr="00135EE5">
                    <w:rPr>
                      <w:rFonts w:ascii="仿宋_GB2312" w:eastAsia="仿宋_GB2312" w:hint="eastAsia"/>
                      <w:sz w:val="22"/>
                      <w:szCs w:val="22"/>
                    </w:rPr>
                    <w:t>支行</w:t>
                  </w:r>
                </w:p>
              </w:txbxContent>
            </v:textbox>
          </v:shape>
        </w:pict>
      </w:r>
      <w:r>
        <w:rPr>
          <w:noProof/>
        </w:rPr>
        <w:pict>
          <v:line id="_x0000_s2223" style="position:absolute;left:0;text-align:left;z-index:251714560" from="622.5pt,7.6pt" to="622.5pt,31pt" strokecolor="#36f" strokeweight="1.5pt"/>
        </w:pict>
      </w:r>
      <w:r>
        <w:rPr>
          <w:noProof/>
        </w:rPr>
        <w:pict>
          <v:line id="_x0000_s2208" style="position:absolute;left:0;text-align:left;z-index:251699200" from="574pt,7.6pt" to="574pt,31pt" strokecolor="#36f" strokeweight="1.5pt"/>
        </w:pict>
      </w:r>
      <w:r>
        <w:rPr>
          <w:noProof/>
        </w:rPr>
        <w:pict>
          <v:line id="_x0000_s2194" style="position:absolute;left:0;text-align:left;z-index:251684864" from="437.55pt,7.6pt" to="437.55pt,31pt" strokecolor="#36f" strokeweight="1.5pt"/>
        </w:pict>
      </w:r>
      <w:r>
        <w:rPr>
          <w:noProof/>
        </w:rPr>
        <w:pict>
          <v:line id="_x0000_s2195" style="position:absolute;left:0;text-align:left;z-index:251685888" from="481.25pt,6.9pt" to="481.25pt,30.3pt" strokecolor="#36f" strokeweight="1.5pt"/>
        </w:pict>
      </w:r>
      <w:r>
        <w:rPr>
          <w:noProof/>
        </w:rPr>
        <w:pict>
          <v:line id="_x0000_s2196" style="position:absolute;left:0;text-align:left;z-index:251686912" from="530.55pt,7.6pt" to="530.55pt,31pt" strokecolor="#36f" strokeweight="1.5pt"/>
        </w:pict>
      </w:r>
      <w:r>
        <w:rPr>
          <w:noProof/>
        </w:rPr>
        <w:pict>
          <v:shape id="_x0000_s2192" type="#_x0000_t202" style="position:absolute;left:0;text-align:left;margin-left:511.85pt;margin-top:31.45pt;width:36pt;height:109.2pt;z-index:251682816" strokeweight="1.5pt">
            <v:textbox style="layout-flow:vertical-ideographic;mso-next-textbox:#_x0000_s2192">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中心桥支行</w:t>
                  </w:r>
                </w:p>
              </w:txbxContent>
            </v:textbox>
          </v:shape>
        </w:pict>
      </w:r>
      <w:r w:rsidRPr="0056038F">
        <w:rPr>
          <w:noProof/>
          <w:sz w:val="28"/>
          <w:szCs w:val="28"/>
        </w:rPr>
        <w:pict>
          <v:line id="_x0000_s2226" style="position:absolute;left:0;text-align:left;z-index:251717632" from="389.7pt,6.7pt" to="389.7pt,30.1pt" strokecolor="#36f" strokeweight="1.5pt"/>
        </w:pict>
      </w:r>
      <w:r>
        <w:rPr>
          <w:noProof/>
        </w:rPr>
        <w:pict>
          <v:line id="_x0000_s2198" style="position:absolute;left:0;text-align:left;z-index:251688960" from="194.6pt,4.2pt" to="194.6pt,27.6pt" strokecolor="#36f" strokeweight="1.5pt"/>
        </w:pict>
      </w:r>
      <w:r>
        <w:rPr>
          <w:noProof/>
        </w:rPr>
        <w:pict>
          <v:line id="_x0000_s2193" style="position:absolute;left:0;text-align:left;z-index:251683840" from="302.55pt,4.45pt" to="302.55pt,27.85pt" strokecolor="#36f" strokeweight="1.5pt"/>
        </w:pict>
      </w:r>
      <w:r>
        <w:rPr>
          <w:noProof/>
        </w:rPr>
        <w:pict>
          <v:line id="_x0000_s2197" style="position:absolute;left:0;text-align:left;z-index:251687936" from="142.9pt,4.2pt" to="142.9pt,27.6pt" strokecolor="#36f" strokeweight="1.5pt"/>
        </w:pict>
      </w:r>
      <w:r>
        <w:rPr>
          <w:noProof/>
        </w:rPr>
        <w:pict>
          <v:line id="_x0000_s2199" style="position:absolute;left:0;text-align:left;z-index:251689984" from="247.9pt,5.1pt" to="247.9pt,28.5pt" strokecolor="#36f" strokeweight="1.5pt"/>
        </w:pict>
      </w:r>
      <w:r>
        <w:rPr>
          <w:noProof/>
        </w:rPr>
        <w:pict>
          <v:line id="_x0000_s2206" style="position:absolute;left:0;text-align:left;z-index:251697152" from="142.2pt,4.3pt" to="303.45pt,4.7pt" strokecolor="#36f" strokeweight="1.5pt"/>
        </w:pict>
      </w:r>
    </w:p>
    <w:p w:rsidR="00B86804" w:rsidRPr="00F624B7" w:rsidRDefault="00B86804" w:rsidP="00B86804"/>
    <w:p w:rsidR="00B86804" w:rsidRPr="00F624B7" w:rsidRDefault="0056038F" w:rsidP="00B86804">
      <w:r w:rsidRPr="0056038F">
        <w:rPr>
          <w:noProof/>
          <w:sz w:val="28"/>
          <w:szCs w:val="28"/>
        </w:rPr>
        <w:pict>
          <v:shape id="_x0000_s2225" type="#_x0000_t202" style="position:absolute;left:0;text-align:left;margin-left:371pt;margin-top:2.3pt;width:36pt;height:109.2pt;z-index:251716608" strokeweight="1.5pt">
            <v:textbox style="layout-flow:vertical-ideographic;mso-next-textbox:#_x0000_s2225">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总行营业部</w:t>
                  </w:r>
                </w:p>
              </w:txbxContent>
            </v:textbox>
          </v:shape>
        </w:pict>
      </w:r>
      <w:r>
        <w:rPr>
          <w:noProof/>
        </w:rPr>
        <w:pict>
          <v:shape id="_x0000_s2187" type="#_x0000_t202" style="position:absolute;left:0;text-align:left;margin-left:281.8pt;margin-top:-.15pt;width:36pt;height:109.2pt;z-index:251677696" strokeweight="1.5pt">
            <v:textbox style="layout-flow:vertical-ideographic;mso-next-textbox:#_x0000_s2187">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综合管理部</w:t>
                  </w:r>
                </w:p>
                <w:p w:rsidR="00E661F3" w:rsidRPr="00005AF1" w:rsidRDefault="00E661F3" w:rsidP="00B86804"/>
              </w:txbxContent>
            </v:textbox>
          </v:shape>
        </w:pict>
      </w:r>
      <w:r>
        <w:rPr>
          <w:noProof/>
        </w:rPr>
        <w:pict>
          <v:shape id="_x0000_s2189" type="#_x0000_t202" style="position:absolute;left:0;text-align:left;margin-left:227.8pt;margin-top:-.15pt;width:36pt;height:109.2pt;z-index:251679744" strokeweight="1.5pt">
            <v:textbox style="layout-flow:vertical-ideographic;mso-next-textbox:#_x0000_s2189">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业务管理部</w:t>
                  </w:r>
                </w:p>
              </w:txbxContent>
            </v:textbox>
          </v:shape>
        </w:pict>
      </w:r>
      <w:r>
        <w:rPr>
          <w:noProof/>
        </w:rPr>
        <w:pict>
          <v:shape id="_x0000_s2188" type="#_x0000_t202" style="position:absolute;left:0;text-align:left;margin-left:173.8pt;margin-top:-.15pt;width:36pt;height:109.2pt;z-index:251678720" strokeweight="1.5pt">
            <v:textbox style="layout-flow:vertical-ideographic;mso-next-textbox:#_x0000_s2188">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风险管理部</w:t>
                  </w:r>
                </w:p>
              </w:txbxContent>
            </v:textbox>
          </v:shape>
        </w:pict>
      </w:r>
      <w:r>
        <w:rPr>
          <w:noProof/>
        </w:rPr>
        <w:pict>
          <v:shape id="_x0000_s2186" type="#_x0000_t202" style="position:absolute;left:0;text-align:left;margin-left:119.8pt;margin-top:-.15pt;width:36pt;height:109.2pt;z-index:251676672" strokeweight="1.5pt">
            <v:textbox style="layout-flow:vertical-ideographic;mso-next-textbox:#_x0000_s2186">
              <w:txbxContent>
                <w:p w:rsidR="00E661F3" w:rsidRPr="00135EE5" w:rsidRDefault="00E661F3" w:rsidP="00B86804">
                  <w:pPr>
                    <w:jc w:val="center"/>
                    <w:rPr>
                      <w:rFonts w:ascii="仿宋_GB2312" w:eastAsia="仿宋_GB2312"/>
                      <w:sz w:val="22"/>
                      <w:szCs w:val="22"/>
                    </w:rPr>
                  </w:pPr>
                  <w:r w:rsidRPr="00135EE5">
                    <w:rPr>
                      <w:rFonts w:ascii="仿宋_GB2312" w:eastAsia="仿宋_GB2312" w:hint="eastAsia"/>
                      <w:sz w:val="22"/>
                      <w:szCs w:val="22"/>
                    </w:rPr>
                    <w:t>计划财务部</w:t>
                  </w:r>
                </w:p>
              </w:txbxContent>
            </v:textbox>
          </v:shape>
        </w:pict>
      </w:r>
    </w:p>
    <w:p w:rsidR="00B86804" w:rsidRPr="00F624B7" w:rsidRDefault="00B86804" w:rsidP="00B86804">
      <w:pPr>
        <w:jc w:val="center"/>
      </w:pPr>
    </w:p>
    <w:p w:rsidR="00B86804" w:rsidRPr="00F624B7" w:rsidRDefault="00B86804" w:rsidP="00B86804">
      <w:pPr>
        <w:tabs>
          <w:tab w:val="left" w:pos="4620"/>
        </w:tabs>
      </w:pPr>
      <w:r w:rsidRPr="00F624B7">
        <w:tab/>
      </w:r>
    </w:p>
    <w:p w:rsidR="00B86804" w:rsidRPr="00F624B7" w:rsidRDefault="00B86804" w:rsidP="00B86804">
      <w:pPr>
        <w:jc w:val="center"/>
        <w:rPr>
          <w:rFonts w:ascii="仿宋_GB2312" w:eastAsia="仿宋_GB2312" w:hAnsi="宋体"/>
          <w:b/>
          <w:sz w:val="32"/>
          <w:szCs w:val="32"/>
        </w:rPr>
      </w:pPr>
    </w:p>
    <w:p w:rsidR="00B86804" w:rsidRPr="00F624B7" w:rsidRDefault="00B86804" w:rsidP="00B86804">
      <w:pPr>
        <w:pStyle w:val="1"/>
        <w:spacing w:before="0" w:after="0" w:line="360" w:lineRule="auto"/>
        <w:rPr>
          <w:sz w:val="28"/>
          <w:szCs w:val="28"/>
        </w:rPr>
      </w:pPr>
    </w:p>
    <w:p w:rsidR="00B86804" w:rsidRPr="00F624B7" w:rsidRDefault="00B86804" w:rsidP="00B86804"/>
    <w:p w:rsidR="00B86804" w:rsidRPr="00F624B7" w:rsidRDefault="00B86804" w:rsidP="00B86804"/>
    <w:p w:rsidR="00B86804" w:rsidRPr="002D211F" w:rsidRDefault="00B86804" w:rsidP="00B86804">
      <w:pPr>
        <w:rPr>
          <w:szCs w:val="28"/>
        </w:rPr>
      </w:pPr>
    </w:p>
    <w:p w:rsidR="00C5511A" w:rsidRPr="00847A32" w:rsidRDefault="00C5511A" w:rsidP="002B48F9">
      <w:pPr>
        <w:spacing w:line="560" w:lineRule="exact"/>
        <w:rPr>
          <w:rFonts w:ascii="仿宋_GB2312" w:eastAsia="仿宋_GB2312" w:hAnsi="宋体" w:cs="Tahoma"/>
          <w:b/>
          <w:kern w:val="0"/>
          <w:sz w:val="28"/>
          <w:szCs w:val="28"/>
        </w:rPr>
        <w:sectPr w:rsidR="00C5511A" w:rsidRPr="00847A32">
          <w:pgSz w:w="16838" w:h="11906" w:orient="landscape"/>
          <w:pgMar w:top="1134" w:right="1021" w:bottom="1304" w:left="1134" w:header="851" w:footer="992" w:gutter="0"/>
          <w:cols w:space="720"/>
          <w:docGrid w:type="lines" w:linePitch="287"/>
        </w:sectPr>
      </w:pPr>
    </w:p>
    <w:p w:rsidR="00C5511A" w:rsidRPr="008F5787" w:rsidRDefault="00C5511A" w:rsidP="002B48F9">
      <w:pPr>
        <w:spacing w:line="560" w:lineRule="exact"/>
        <w:jc w:val="center"/>
        <w:rPr>
          <w:rFonts w:ascii="黑体" w:eastAsia="黑体" w:hAnsi="宋体" w:cs="Tahoma"/>
          <w:kern w:val="0"/>
          <w:sz w:val="30"/>
          <w:szCs w:val="30"/>
        </w:rPr>
      </w:pPr>
      <w:r w:rsidRPr="008F5787">
        <w:rPr>
          <w:rFonts w:ascii="黑体" w:eastAsia="黑体" w:hAnsi="宋体" w:cs="Tahoma" w:hint="eastAsia"/>
          <w:kern w:val="0"/>
          <w:sz w:val="30"/>
          <w:szCs w:val="30"/>
        </w:rPr>
        <w:lastRenderedPageBreak/>
        <w:t>第三章　会计数据摘要</w:t>
      </w:r>
    </w:p>
    <w:p w:rsidR="00C5511A" w:rsidRPr="00A31982" w:rsidRDefault="00C5511A" w:rsidP="002B48F9">
      <w:pPr>
        <w:spacing w:line="560" w:lineRule="exact"/>
        <w:ind w:firstLine="570"/>
        <w:rPr>
          <w:rFonts w:ascii="仿宋_GB2312" w:eastAsia="仿宋_GB2312" w:hAnsi="ˎ̥" w:cs="Tahoma"/>
          <w:kern w:val="0"/>
          <w:sz w:val="30"/>
          <w:szCs w:val="30"/>
        </w:rPr>
      </w:pPr>
      <w:r w:rsidRPr="00A31982">
        <w:rPr>
          <w:rFonts w:ascii="仿宋_GB2312" w:eastAsia="仿宋_GB2312" w:hAnsi="ˎ̥" w:cs="Tahoma" w:hint="eastAsia"/>
          <w:kern w:val="0"/>
          <w:sz w:val="30"/>
          <w:szCs w:val="30"/>
        </w:rPr>
        <w:t>一、年度主要利润指标　　　　　　　　单位：人民币万元、%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2962"/>
        <w:gridCol w:w="1447"/>
        <w:gridCol w:w="1510"/>
        <w:gridCol w:w="1478"/>
      </w:tblGrid>
      <w:tr w:rsidR="00C5511A" w:rsidRPr="00A31982" w:rsidTr="006B1C08">
        <w:trPr>
          <w:trHeight w:val="50"/>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C5511A" w:rsidRPr="00A31982" w:rsidRDefault="00C5511A"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项　　　目</w:t>
            </w:r>
          </w:p>
        </w:tc>
        <w:tc>
          <w:tcPr>
            <w:tcW w:w="1447" w:type="dxa"/>
            <w:tcBorders>
              <w:top w:val="outset" w:sz="6" w:space="0" w:color="auto"/>
              <w:left w:val="outset" w:sz="6" w:space="0" w:color="auto"/>
              <w:bottom w:val="outset" w:sz="6" w:space="0" w:color="auto"/>
              <w:right w:val="outset" w:sz="6" w:space="0" w:color="auto"/>
            </w:tcBorders>
          </w:tcPr>
          <w:p w:rsidR="00C5511A" w:rsidRPr="00A31982" w:rsidRDefault="00C5511A" w:rsidP="002F2A1A">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201</w:t>
            </w:r>
            <w:r w:rsidR="002F2A1A" w:rsidRPr="00A31982">
              <w:rPr>
                <w:rFonts w:ascii="仿宋_GB2312" w:eastAsia="仿宋_GB2312" w:hAnsi="Calibri" w:hint="eastAsia"/>
                <w:sz w:val="20"/>
                <w:szCs w:val="20"/>
              </w:rPr>
              <w:t>9</w:t>
            </w:r>
            <w:r w:rsidRPr="00A31982">
              <w:rPr>
                <w:rFonts w:ascii="仿宋_GB2312" w:eastAsia="仿宋_GB2312" w:hAnsi="Calibri" w:hint="eastAsia"/>
                <w:sz w:val="20"/>
                <w:szCs w:val="20"/>
              </w:rPr>
              <w:t>年度</w:t>
            </w:r>
          </w:p>
        </w:tc>
        <w:tc>
          <w:tcPr>
            <w:tcW w:w="1510" w:type="dxa"/>
            <w:tcBorders>
              <w:top w:val="outset" w:sz="6" w:space="0" w:color="auto"/>
              <w:left w:val="outset" w:sz="6" w:space="0" w:color="auto"/>
              <w:bottom w:val="outset" w:sz="6" w:space="0" w:color="auto"/>
              <w:right w:val="outset" w:sz="6" w:space="0" w:color="auto"/>
            </w:tcBorders>
          </w:tcPr>
          <w:p w:rsidR="00C5511A" w:rsidRPr="00A31982" w:rsidRDefault="00C5511A" w:rsidP="002F2A1A">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201</w:t>
            </w:r>
            <w:r w:rsidR="002F2A1A" w:rsidRPr="00A31982">
              <w:rPr>
                <w:rFonts w:ascii="仿宋_GB2312" w:eastAsia="仿宋_GB2312" w:hAnsi="Calibri" w:hint="eastAsia"/>
                <w:sz w:val="20"/>
                <w:szCs w:val="20"/>
              </w:rPr>
              <w:t>8</w:t>
            </w:r>
            <w:r w:rsidRPr="00A31982">
              <w:rPr>
                <w:rFonts w:ascii="仿宋_GB2312" w:eastAsia="仿宋_GB2312" w:hAnsi="Calibri" w:hint="eastAsia"/>
                <w:sz w:val="20"/>
                <w:szCs w:val="20"/>
              </w:rPr>
              <w:t>年度</w:t>
            </w:r>
          </w:p>
        </w:tc>
        <w:tc>
          <w:tcPr>
            <w:tcW w:w="1478" w:type="dxa"/>
            <w:tcBorders>
              <w:top w:val="outset" w:sz="6" w:space="0" w:color="auto"/>
              <w:left w:val="outset" w:sz="6" w:space="0" w:color="auto"/>
              <w:bottom w:val="outset" w:sz="6" w:space="0" w:color="auto"/>
              <w:right w:val="outset" w:sz="6" w:space="0" w:color="auto"/>
            </w:tcBorders>
          </w:tcPr>
          <w:p w:rsidR="00C5511A" w:rsidRPr="00A31982" w:rsidRDefault="00C5511A"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增减额</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营业收入</w:t>
            </w:r>
          </w:p>
        </w:tc>
        <w:tc>
          <w:tcPr>
            <w:tcW w:w="1447"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2B48F9">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5958.93</w:t>
            </w:r>
          </w:p>
        </w:tc>
        <w:tc>
          <w:tcPr>
            <w:tcW w:w="1510"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C03908">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5546.21</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-412.72</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营业支出</w:t>
            </w:r>
          </w:p>
        </w:tc>
        <w:tc>
          <w:tcPr>
            <w:tcW w:w="1447"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E655F3">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7787.27</w:t>
            </w:r>
          </w:p>
        </w:tc>
        <w:tc>
          <w:tcPr>
            <w:tcW w:w="1510"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C03908">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7831.16</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43.89</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营业利润</w:t>
            </w:r>
          </w:p>
        </w:tc>
        <w:tc>
          <w:tcPr>
            <w:tcW w:w="1447"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2B48F9">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-1828.34</w:t>
            </w:r>
          </w:p>
        </w:tc>
        <w:tc>
          <w:tcPr>
            <w:tcW w:w="1510"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C03908">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-2284.95</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-456.61</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营业外收支净额</w:t>
            </w:r>
          </w:p>
        </w:tc>
        <w:tc>
          <w:tcPr>
            <w:tcW w:w="1447"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-30.61</w:t>
            </w:r>
          </w:p>
        </w:tc>
        <w:tc>
          <w:tcPr>
            <w:tcW w:w="1510" w:type="dxa"/>
            <w:tcBorders>
              <w:top w:val="outset" w:sz="6" w:space="0" w:color="auto"/>
              <w:left w:val="outset" w:sz="6" w:space="0" w:color="auto"/>
              <w:bottom w:val="outset" w:sz="6" w:space="0" w:color="auto"/>
              <w:right w:val="outset" w:sz="6" w:space="0" w:color="auto"/>
            </w:tcBorders>
          </w:tcPr>
          <w:p w:rsidR="007A0D0C" w:rsidRPr="00A31982" w:rsidRDefault="007A0D0C" w:rsidP="00C03908">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293.65</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324.26</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利润总额</w:t>
            </w:r>
          </w:p>
        </w:tc>
        <w:tc>
          <w:tcPr>
            <w:tcW w:w="1447"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-1858.94</w:t>
            </w:r>
          </w:p>
        </w:tc>
        <w:tc>
          <w:tcPr>
            <w:tcW w:w="1510" w:type="dxa"/>
            <w:tcBorders>
              <w:top w:val="outset" w:sz="6" w:space="0" w:color="auto"/>
              <w:left w:val="outset" w:sz="6" w:space="0" w:color="auto"/>
              <w:bottom w:val="outset" w:sz="6" w:space="0" w:color="auto"/>
              <w:right w:val="outset" w:sz="6" w:space="0" w:color="auto"/>
            </w:tcBorders>
          </w:tcPr>
          <w:p w:rsidR="007A0D0C" w:rsidRPr="00A31982" w:rsidRDefault="007A0D0C" w:rsidP="00C03908">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-1991.30</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-132.36</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减：所得税费用（当期与递延）</w:t>
            </w:r>
          </w:p>
        </w:tc>
        <w:tc>
          <w:tcPr>
            <w:tcW w:w="1447"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-158.89</w:t>
            </w:r>
          </w:p>
        </w:tc>
        <w:tc>
          <w:tcPr>
            <w:tcW w:w="1510" w:type="dxa"/>
            <w:tcBorders>
              <w:top w:val="outset" w:sz="6" w:space="0" w:color="auto"/>
              <w:left w:val="outset" w:sz="6" w:space="0" w:color="auto"/>
              <w:bottom w:val="outset" w:sz="6" w:space="0" w:color="auto"/>
              <w:right w:val="outset" w:sz="6" w:space="0" w:color="auto"/>
            </w:tcBorders>
          </w:tcPr>
          <w:p w:rsidR="007A0D0C" w:rsidRPr="00A31982" w:rsidRDefault="007A0D0C" w:rsidP="00C03908">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-156.25</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2.64</w:t>
            </w:r>
          </w:p>
        </w:tc>
      </w:tr>
      <w:tr w:rsidR="007A0D0C" w:rsidRPr="00A31982" w:rsidTr="006B1C08">
        <w:trPr>
          <w:trHeight w:val="65"/>
          <w:tblCellSpacing w:w="0" w:type="dxa"/>
          <w:jc w:val="center"/>
        </w:trPr>
        <w:tc>
          <w:tcPr>
            <w:tcW w:w="2962"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净利润</w:t>
            </w:r>
          </w:p>
        </w:tc>
        <w:tc>
          <w:tcPr>
            <w:tcW w:w="1447" w:type="dxa"/>
            <w:tcBorders>
              <w:top w:val="outset" w:sz="6" w:space="0" w:color="auto"/>
              <w:left w:val="outset" w:sz="6" w:space="0" w:color="auto"/>
              <w:bottom w:val="outset" w:sz="6" w:space="0" w:color="auto"/>
              <w:right w:val="outset" w:sz="6" w:space="0" w:color="auto"/>
            </w:tcBorders>
          </w:tcPr>
          <w:p w:rsidR="007A0D0C" w:rsidRPr="00A31982" w:rsidRDefault="007A0D0C" w:rsidP="002B48F9">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-1700.05</w:t>
            </w:r>
          </w:p>
        </w:tc>
        <w:tc>
          <w:tcPr>
            <w:tcW w:w="1510" w:type="dxa"/>
            <w:tcBorders>
              <w:top w:val="outset" w:sz="6" w:space="0" w:color="auto"/>
              <w:left w:val="outset" w:sz="6" w:space="0" w:color="auto"/>
              <w:bottom w:val="outset" w:sz="6" w:space="0" w:color="auto"/>
              <w:right w:val="outset" w:sz="6" w:space="0" w:color="auto"/>
            </w:tcBorders>
          </w:tcPr>
          <w:p w:rsidR="007A0D0C" w:rsidRPr="00A31982" w:rsidRDefault="007A0D0C" w:rsidP="00C03908">
            <w:pPr>
              <w:spacing w:line="560" w:lineRule="exact"/>
              <w:jc w:val="right"/>
              <w:rPr>
                <w:rFonts w:ascii="仿宋_GB2312" w:eastAsia="仿宋_GB2312" w:hAnsi="Calibri"/>
                <w:color w:val="000000"/>
                <w:sz w:val="20"/>
                <w:szCs w:val="20"/>
              </w:rPr>
            </w:pPr>
            <w:r w:rsidRPr="00A31982">
              <w:rPr>
                <w:rFonts w:ascii="仿宋_GB2312" w:eastAsia="仿宋_GB2312" w:hAnsi="Calibri" w:hint="eastAsia"/>
                <w:color w:val="000000"/>
                <w:sz w:val="20"/>
                <w:szCs w:val="20"/>
              </w:rPr>
              <w:t>-1835.05</w:t>
            </w:r>
          </w:p>
        </w:tc>
        <w:tc>
          <w:tcPr>
            <w:tcW w:w="1478" w:type="dxa"/>
            <w:tcBorders>
              <w:top w:val="outset" w:sz="6" w:space="0" w:color="auto"/>
              <w:left w:val="outset" w:sz="6" w:space="0" w:color="auto"/>
              <w:bottom w:val="outset" w:sz="6" w:space="0" w:color="auto"/>
              <w:right w:val="outset" w:sz="6" w:space="0" w:color="auto"/>
            </w:tcBorders>
            <w:vAlign w:val="center"/>
          </w:tcPr>
          <w:p w:rsidR="007A0D0C" w:rsidRPr="00A31982" w:rsidRDefault="007A0D0C" w:rsidP="00A31982">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-135</w:t>
            </w:r>
          </w:p>
        </w:tc>
      </w:tr>
    </w:tbl>
    <w:p w:rsidR="00C5511A" w:rsidRPr="00A31982" w:rsidRDefault="00C5511A" w:rsidP="002B48F9">
      <w:pPr>
        <w:spacing w:line="560" w:lineRule="exact"/>
        <w:rPr>
          <w:rFonts w:ascii="仿宋_GB2312" w:eastAsia="仿宋_GB2312" w:hAnsi="ˎ̥" w:cs="Tahoma"/>
          <w:kern w:val="0"/>
          <w:sz w:val="28"/>
          <w:szCs w:val="28"/>
        </w:rPr>
      </w:pPr>
      <w:r w:rsidRPr="00A31982">
        <w:rPr>
          <w:rFonts w:ascii="仿宋_GB2312" w:eastAsia="仿宋_GB2312" w:hAnsi="ˎ̥" w:cs="Tahoma" w:hint="eastAsia"/>
          <w:kern w:val="0"/>
          <w:sz w:val="28"/>
          <w:szCs w:val="28"/>
        </w:rPr>
        <w:t xml:space="preserve">　　二、截止报告期末前2年的主要会计财务数据　　单位：人民币万元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191"/>
        <w:gridCol w:w="1895"/>
        <w:gridCol w:w="1894"/>
      </w:tblGrid>
      <w:tr w:rsidR="00C5511A" w:rsidRPr="00A3198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C5511A" w:rsidRPr="00A31982" w:rsidRDefault="00C5511A"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项　　　　目</w:t>
            </w:r>
          </w:p>
        </w:tc>
        <w:tc>
          <w:tcPr>
            <w:tcW w:w="1895" w:type="dxa"/>
            <w:tcBorders>
              <w:top w:val="outset" w:sz="6" w:space="0" w:color="auto"/>
              <w:left w:val="outset" w:sz="6" w:space="0" w:color="auto"/>
              <w:bottom w:val="outset" w:sz="6" w:space="0" w:color="auto"/>
              <w:right w:val="outset" w:sz="6" w:space="0" w:color="auto"/>
            </w:tcBorders>
          </w:tcPr>
          <w:p w:rsidR="00C5511A" w:rsidRPr="00A31982" w:rsidRDefault="00C5511A" w:rsidP="00BE7DF0">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201</w:t>
            </w:r>
            <w:r w:rsidR="00BE7DF0" w:rsidRPr="00A31982">
              <w:rPr>
                <w:rFonts w:ascii="仿宋_GB2312" w:eastAsia="仿宋_GB2312" w:hAnsi="Calibri" w:hint="eastAsia"/>
                <w:sz w:val="20"/>
                <w:szCs w:val="20"/>
              </w:rPr>
              <w:t>9</w:t>
            </w:r>
            <w:r w:rsidRPr="00A31982">
              <w:rPr>
                <w:rFonts w:ascii="仿宋_GB2312" w:eastAsia="仿宋_GB2312" w:hAnsi="Calibri" w:hint="eastAsia"/>
                <w:sz w:val="20"/>
                <w:szCs w:val="20"/>
              </w:rPr>
              <w:t>年审计数</w:t>
            </w:r>
          </w:p>
        </w:tc>
        <w:tc>
          <w:tcPr>
            <w:tcW w:w="1894" w:type="dxa"/>
            <w:tcBorders>
              <w:top w:val="outset" w:sz="6" w:space="0" w:color="auto"/>
              <w:left w:val="outset" w:sz="6" w:space="0" w:color="auto"/>
              <w:bottom w:val="outset" w:sz="6" w:space="0" w:color="auto"/>
              <w:right w:val="outset" w:sz="6" w:space="0" w:color="auto"/>
            </w:tcBorders>
          </w:tcPr>
          <w:p w:rsidR="00C5511A" w:rsidRPr="00A31982" w:rsidRDefault="00C5511A" w:rsidP="00BE7DF0">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201</w:t>
            </w:r>
            <w:r w:rsidR="00BE7DF0" w:rsidRPr="00A31982">
              <w:rPr>
                <w:rFonts w:ascii="仿宋_GB2312" w:eastAsia="仿宋_GB2312" w:hAnsi="Calibri" w:hint="eastAsia"/>
                <w:sz w:val="20"/>
                <w:szCs w:val="20"/>
              </w:rPr>
              <w:t>8</w:t>
            </w:r>
            <w:r w:rsidRPr="00A31982">
              <w:rPr>
                <w:rFonts w:ascii="仿宋_GB2312" w:eastAsia="仿宋_GB2312" w:hAnsi="Calibri" w:hint="eastAsia"/>
                <w:sz w:val="20"/>
                <w:szCs w:val="20"/>
              </w:rPr>
              <w:t>年审计数</w:t>
            </w:r>
          </w:p>
        </w:tc>
      </w:tr>
      <w:tr w:rsidR="00BE7DF0"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BE7DF0" w:rsidRPr="00A31982" w:rsidRDefault="00BE7DF0" w:rsidP="002B48F9">
            <w:pPr>
              <w:spacing w:line="560" w:lineRule="exact"/>
              <w:jc w:val="center"/>
              <w:rPr>
                <w:rFonts w:ascii="仿宋_GB2312" w:eastAsia="仿宋_GB2312" w:hAnsi="Calibri"/>
                <w:sz w:val="20"/>
                <w:szCs w:val="20"/>
              </w:rPr>
            </w:pPr>
            <w:r w:rsidRPr="00A31982">
              <w:rPr>
                <w:rFonts w:ascii="仿宋_GB2312" w:eastAsia="仿宋_GB2312" w:hAnsi="Calibri" w:hint="eastAsia"/>
                <w:sz w:val="20"/>
                <w:szCs w:val="20"/>
              </w:rPr>
              <w:t>总资产</w:t>
            </w:r>
          </w:p>
        </w:tc>
        <w:tc>
          <w:tcPr>
            <w:tcW w:w="1895" w:type="dxa"/>
            <w:tcBorders>
              <w:top w:val="outset" w:sz="6" w:space="0" w:color="auto"/>
              <w:left w:val="outset" w:sz="6" w:space="0" w:color="auto"/>
              <w:bottom w:val="outset" w:sz="6" w:space="0" w:color="auto"/>
              <w:right w:val="outset" w:sz="6" w:space="0" w:color="auto"/>
            </w:tcBorders>
            <w:vAlign w:val="center"/>
          </w:tcPr>
          <w:p w:rsidR="00BE7DF0" w:rsidRPr="00A31982" w:rsidRDefault="00E655F3" w:rsidP="002B48F9">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103402.42</w:t>
            </w:r>
          </w:p>
        </w:tc>
        <w:tc>
          <w:tcPr>
            <w:tcW w:w="1894" w:type="dxa"/>
            <w:tcBorders>
              <w:top w:val="outset" w:sz="6" w:space="0" w:color="auto"/>
              <w:left w:val="outset" w:sz="6" w:space="0" w:color="auto"/>
              <w:bottom w:val="outset" w:sz="6" w:space="0" w:color="auto"/>
              <w:right w:val="outset" w:sz="6" w:space="0" w:color="auto"/>
            </w:tcBorders>
            <w:vAlign w:val="center"/>
          </w:tcPr>
          <w:p w:rsidR="00BE7DF0" w:rsidRPr="00847A32" w:rsidRDefault="00BE7DF0" w:rsidP="00C03908">
            <w:pPr>
              <w:spacing w:line="560" w:lineRule="exact"/>
              <w:jc w:val="right"/>
              <w:rPr>
                <w:rFonts w:ascii="仿宋_GB2312" w:eastAsia="仿宋_GB2312" w:hAnsi="宋体" w:cs="宋体"/>
                <w:color w:val="000000"/>
                <w:szCs w:val="21"/>
              </w:rPr>
            </w:pPr>
            <w:r w:rsidRPr="00A31982">
              <w:rPr>
                <w:rFonts w:ascii="仿宋_GB2312" w:eastAsia="仿宋_GB2312" w:hAnsi="宋体" w:cs="宋体" w:hint="eastAsia"/>
                <w:color w:val="000000"/>
                <w:szCs w:val="21"/>
              </w:rPr>
              <w:t>100236.27</w:t>
            </w:r>
          </w:p>
        </w:tc>
      </w:tr>
      <w:tr w:rsidR="00BE7DF0"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BE7DF0" w:rsidRPr="00847A32" w:rsidRDefault="00BE7DF0"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存款余额</w:t>
            </w:r>
          </w:p>
        </w:tc>
        <w:tc>
          <w:tcPr>
            <w:tcW w:w="1895" w:type="dxa"/>
            <w:tcBorders>
              <w:top w:val="outset" w:sz="6" w:space="0" w:color="auto"/>
              <w:left w:val="outset" w:sz="6" w:space="0" w:color="auto"/>
              <w:bottom w:val="outset" w:sz="6" w:space="0" w:color="auto"/>
              <w:right w:val="outset" w:sz="6" w:space="0" w:color="auto"/>
            </w:tcBorders>
          </w:tcPr>
          <w:p w:rsidR="00BE7DF0" w:rsidRPr="00847A32" w:rsidRDefault="00E655F3" w:rsidP="002B48F9">
            <w:pPr>
              <w:spacing w:line="560" w:lineRule="exact"/>
              <w:jc w:val="right"/>
              <w:rPr>
                <w:rFonts w:ascii="仿宋_GB2312" w:eastAsia="仿宋_GB2312" w:hAnsi="Calibri"/>
                <w:color w:val="000000"/>
                <w:sz w:val="20"/>
                <w:szCs w:val="20"/>
              </w:rPr>
            </w:pPr>
            <w:r>
              <w:rPr>
                <w:rFonts w:ascii="仿宋_GB2312" w:eastAsia="仿宋_GB2312" w:hAnsi="Calibri" w:hint="eastAsia"/>
                <w:color w:val="000000"/>
                <w:sz w:val="20"/>
                <w:szCs w:val="20"/>
              </w:rPr>
              <w:t>62812.01</w:t>
            </w:r>
          </w:p>
        </w:tc>
        <w:tc>
          <w:tcPr>
            <w:tcW w:w="1894" w:type="dxa"/>
            <w:tcBorders>
              <w:top w:val="outset" w:sz="6" w:space="0" w:color="auto"/>
              <w:left w:val="outset" w:sz="6" w:space="0" w:color="auto"/>
              <w:bottom w:val="outset" w:sz="6" w:space="0" w:color="auto"/>
              <w:right w:val="outset" w:sz="6" w:space="0" w:color="auto"/>
            </w:tcBorders>
          </w:tcPr>
          <w:p w:rsidR="00BE7DF0" w:rsidRPr="00847A32" w:rsidRDefault="00BE7DF0" w:rsidP="00C03908">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56992.50</w:t>
            </w:r>
          </w:p>
        </w:tc>
      </w:tr>
      <w:tr w:rsidR="00BE7DF0"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BE7DF0" w:rsidRPr="00847A32" w:rsidRDefault="00BE7DF0"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贷款余额</w:t>
            </w:r>
          </w:p>
        </w:tc>
        <w:tc>
          <w:tcPr>
            <w:tcW w:w="1895" w:type="dxa"/>
            <w:tcBorders>
              <w:top w:val="outset" w:sz="6" w:space="0" w:color="auto"/>
              <w:left w:val="outset" w:sz="6" w:space="0" w:color="auto"/>
              <w:bottom w:val="outset" w:sz="6" w:space="0" w:color="auto"/>
              <w:right w:val="outset" w:sz="6" w:space="0" w:color="auto"/>
            </w:tcBorders>
          </w:tcPr>
          <w:p w:rsidR="00BE7DF0" w:rsidRPr="00847A32" w:rsidRDefault="00E655F3" w:rsidP="002B48F9">
            <w:pPr>
              <w:spacing w:line="560" w:lineRule="exact"/>
              <w:jc w:val="right"/>
              <w:rPr>
                <w:rFonts w:ascii="仿宋_GB2312" w:eastAsia="仿宋_GB2312" w:hAnsi="Calibri"/>
                <w:color w:val="000000"/>
                <w:sz w:val="20"/>
                <w:szCs w:val="20"/>
              </w:rPr>
            </w:pPr>
            <w:r>
              <w:rPr>
                <w:rFonts w:ascii="仿宋_GB2312" w:eastAsia="仿宋_GB2312" w:hAnsi="Calibri" w:hint="eastAsia"/>
                <w:color w:val="000000"/>
                <w:sz w:val="20"/>
                <w:szCs w:val="20"/>
              </w:rPr>
              <w:t>76456.28</w:t>
            </w:r>
          </w:p>
        </w:tc>
        <w:tc>
          <w:tcPr>
            <w:tcW w:w="1894" w:type="dxa"/>
            <w:tcBorders>
              <w:top w:val="outset" w:sz="6" w:space="0" w:color="auto"/>
              <w:left w:val="outset" w:sz="6" w:space="0" w:color="auto"/>
              <w:bottom w:val="outset" w:sz="6" w:space="0" w:color="auto"/>
              <w:right w:val="outset" w:sz="6" w:space="0" w:color="auto"/>
            </w:tcBorders>
          </w:tcPr>
          <w:p w:rsidR="00BE7DF0" w:rsidRPr="00847A32" w:rsidRDefault="00BE7DF0" w:rsidP="00C03908">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75548.07</w:t>
            </w:r>
          </w:p>
        </w:tc>
      </w:tr>
      <w:tr w:rsidR="00BE7DF0"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BE7DF0" w:rsidRPr="00847A32" w:rsidRDefault="00BE7DF0"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股本金</w:t>
            </w:r>
          </w:p>
        </w:tc>
        <w:tc>
          <w:tcPr>
            <w:tcW w:w="1895" w:type="dxa"/>
            <w:tcBorders>
              <w:top w:val="outset" w:sz="6" w:space="0" w:color="auto"/>
              <w:left w:val="outset" w:sz="6" w:space="0" w:color="auto"/>
              <w:bottom w:val="outset" w:sz="6" w:space="0" w:color="auto"/>
              <w:right w:val="outset" w:sz="6" w:space="0" w:color="auto"/>
            </w:tcBorders>
          </w:tcPr>
          <w:p w:rsidR="00BE7DF0" w:rsidRPr="00847A32" w:rsidRDefault="00E655F3" w:rsidP="002B48F9">
            <w:pPr>
              <w:spacing w:line="560" w:lineRule="exact"/>
              <w:jc w:val="right"/>
              <w:rPr>
                <w:rFonts w:ascii="仿宋_GB2312" w:eastAsia="仿宋_GB2312" w:hAnsi="Calibri"/>
                <w:color w:val="000000"/>
                <w:sz w:val="20"/>
                <w:szCs w:val="20"/>
              </w:rPr>
            </w:pPr>
            <w:r>
              <w:rPr>
                <w:rFonts w:ascii="仿宋_GB2312" w:eastAsia="仿宋_GB2312" w:hAnsi="Calibri" w:hint="eastAsia"/>
                <w:color w:val="000000"/>
                <w:sz w:val="20"/>
                <w:szCs w:val="20"/>
              </w:rPr>
              <w:t>30300</w:t>
            </w:r>
          </w:p>
        </w:tc>
        <w:tc>
          <w:tcPr>
            <w:tcW w:w="1894" w:type="dxa"/>
            <w:tcBorders>
              <w:top w:val="outset" w:sz="6" w:space="0" w:color="auto"/>
              <w:left w:val="outset" w:sz="6" w:space="0" w:color="auto"/>
              <w:bottom w:val="outset" w:sz="6" w:space="0" w:color="auto"/>
              <w:right w:val="outset" w:sz="6" w:space="0" w:color="auto"/>
            </w:tcBorders>
          </w:tcPr>
          <w:p w:rsidR="00BE7DF0" w:rsidRPr="00847A32" w:rsidRDefault="00BE7DF0" w:rsidP="00C03908">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30300</w:t>
            </w:r>
          </w:p>
        </w:tc>
      </w:tr>
      <w:tr w:rsidR="00BE7DF0"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BE7DF0" w:rsidRPr="00847A32" w:rsidRDefault="00BE7DF0"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股东权益(所有者权益）</w:t>
            </w:r>
          </w:p>
        </w:tc>
        <w:tc>
          <w:tcPr>
            <w:tcW w:w="1895" w:type="dxa"/>
            <w:tcBorders>
              <w:top w:val="outset" w:sz="6" w:space="0" w:color="auto"/>
              <w:left w:val="outset" w:sz="6" w:space="0" w:color="auto"/>
              <w:bottom w:val="outset" w:sz="6" w:space="0" w:color="auto"/>
              <w:right w:val="outset" w:sz="6" w:space="0" w:color="auto"/>
            </w:tcBorders>
          </w:tcPr>
          <w:p w:rsidR="00BE7DF0" w:rsidRPr="00847A32" w:rsidRDefault="00E655F3" w:rsidP="002B48F9">
            <w:pPr>
              <w:spacing w:line="560" w:lineRule="exact"/>
              <w:jc w:val="right"/>
              <w:rPr>
                <w:rFonts w:ascii="仿宋_GB2312" w:eastAsia="仿宋_GB2312" w:hAnsi="Calibri"/>
                <w:color w:val="000000"/>
                <w:sz w:val="20"/>
                <w:szCs w:val="20"/>
              </w:rPr>
            </w:pPr>
            <w:r>
              <w:rPr>
                <w:rFonts w:ascii="仿宋_GB2312" w:eastAsia="仿宋_GB2312" w:hAnsi="Calibri" w:hint="eastAsia"/>
                <w:color w:val="000000"/>
                <w:sz w:val="20"/>
                <w:szCs w:val="20"/>
              </w:rPr>
              <w:t>23819.79</w:t>
            </w:r>
          </w:p>
        </w:tc>
        <w:tc>
          <w:tcPr>
            <w:tcW w:w="1894" w:type="dxa"/>
            <w:tcBorders>
              <w:top w:val="outset" w:sz="6" w:space="0" w:color="auto"/>
              <w:left w:val="outset" w:sz="6" w:space="0" w:color="auto"/>
              <w:bottom w:val="outset" w:sz="6" w:space="0" w:color="auto"/>
              <w:right w:val="outset" w:sz="6" w:space="0" w:color="auto"/>
            </w:tcBorders>
          </w:tcPr>
          <w:p w:rsidR="00BE7DF0" w:rsidRPr="00847A32" w:rsidRDefault="00BE7DF0" w:rsidP="00C03908">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25519.84</w:t>
            </w:r>
          </w:p>
        </w:tc>
      </w:tr>
      <w:tr w:rsidR="00E655F3"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E655F3" w:rsidRPr="00847A32" w:rsidRDefault="00E655F3"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每股收益（元）</w:t>
            </w:r>
          </w:p>
        </w:tc>
        <w:tc>
          <w:tcPr>
            <w:tcW w:w="1895" w:type="dxa"/>
            <w:tcBorders>
              <w:top w:val="outset" w:sz="6" w:space="0" w:color="auto"/>
              <w:left w:val="outset" w:sz="6" w:space="0" w:color="auto"/>
              <w:bottom w:val="outset" w:sz="6" w:space="0" w:color="auto"/>
              <w:right w:val="outset" w:sz="6" w:space="0" w:color="auto"/>
            </w:tcBorders>
          </w:tcPr>
          <w:p w:rsidR="00E655F3" w:rsidRPr="00847A32" w:rsidRDefault="00E655F3" w:rsidP="00C03908">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c>
          <w:tcPr>
            <w:tcW w:w="1894" w:type="dxa"/>
            <w:tcBorders>
              <w:top w:val="outset" w:sz="6" w:space="0" w:color="auto"/>
              <w:left w:val="outset" w:sz="6" w:space="0" w:color="auto"/>
              <w:bottom w:val="outset" w:sz="6" w:space="0" w:color="auto"/>
              <w:right w:val="outset" w:sz="6" w:space="0" w:color="auto"/>
            </w:tcBorders>
          </w:tcPr>
          <w:p w:rsidR="00E655F3" w:rsidRPr="00847A32" w:rsidRDefault="00E655F3" w:rsidP="00C03908">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r>
      <w:tr w:rsidR="00E655F3"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E655F3" w:rsidRPr="00847A32" w:rsidRDefault="00E655F3"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每股净资产（元）</w:t>
            </w:r>
          </w:p>
        </w:tc>
        <w:tc>
          <w:tcPr>
            <w:tcW w:w="1895" w:type="dxa"/>
            <w:tcBorders>
              <w:top w:val="outset" w:sz="6" w:space="0" w:color="auto"/>
              <w:left w:val="outset" w:sz="6" w:space="0" w:color="auto"/>
              <w:bottom w:val="outset" w:sz="6" w:space="0" w:color="auto"/>
              <w:right w:val="outset" w:sz="6" w:space="0" w:color="auto"/>
            </w:tcBorders>
          </w:tcPr>
          <w:p w:rsidR="00E655F3" w:rsidRPr="00847A32" w:rsidRDefault="00E655F3" w:rsidP="00C03908">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c>
          <w:tcPr>
            <w:tcW w:w="1894" w:type="dxa"/>
            <w:tcBorders>
              <w:top w:val="outset" w:sz="6" w:space="0" w:color="auto"/>
              <w:left w:val="outset" w:sz="6" w:space="0" w:color="auto"/>
              <w:bottom w:val="outset" w:sz="6" w:space="0" w:color="auto"/>
              <w:right w:val="outset" w:sz="6" w:space="0" w:color="auto"/>
            </w:tcBorders>
          </w:tcPr>
          <w:p w:rsidR="00E655F3" w:rsidRPr="00847A32" w:rsidRDefault="00E655F3" w:rsidP="00C03908">
            <w:pPr>
              <w:spacing w:line="560" w:lineRule="exact"/>
              <w:jc w:val="center"/>
              <w:rPr>
                <w:rFonts w:ascii="仿宋_GB2312" w:eastAsia="仿宋_GB2312" w:hAnsi="Calibri"/>
                <w:color w:val="000000"/>
                <w:sz w:val="20"/>
                <w:szCs w:val="20"/>
              </w:rPr>
            </w:pPr>
            <w:r w:rsidRPr="00847A32">
              <w:rPr>
                <w:rFonts w:ascii="仿宋_GB2312" w:eastAsia="仿宋_GB2312" w:hAnsi="Calibri" w:hint="eastAsia"/>
                <w:color w:val="000000"/>
                <w:sz w:val="20"/>
                <w:szCs w:val="20"/>
              </w:rPr>
              <w:t>/</w:t>
            </w:r>
          </w:p>
        </w:tc>
      </w:tr>
      <w:tr w:rsidR="00E655F3" w:rsidRPr="00847A32" w:rsidTr="006B1C08">
        <w:trPr>
          <w:trHeight w:val="330"/>
          <w:tblCellSpacing w:w="0" w:type="dxa"/>
          <w:jc w:val="center"/>
        </w:trPr>
        <w:tc>
          <w:tcPr>
            <w:tcW w:w="3191" w:type="dxa"/>
            <w:tcBorders>
              <w:top w:val="outset" w:sz="6" w:space="0" w:color="auto"/>
              <w:left w:val="outset" w:sz="6" w:space="0" w:color="auto"/>
              <w:bottom w:val="outset" w:sz="6" w:space="0" w:color="auto"/>
              <w:right w:val="outset" w:sz="6" w:space="0" w:color="auto"/>
            </w:tcBorders>
          </w:tcPr>
          <w:p w:rsidR="00E655F3" w:rsidRPr="00847A32" w:rsidRDefault="00E655F3" w:rsidP="002B48F9">
            <w:pPr>
              <w:spacing w:line="560" w:lineRule="exact"/>
              <w:jc w:val="center"/>
              <w:rPr>
                <w:rFonts w:ascii="仿宋_GB2312" w:eastAsia="仿宋_GB2312" w:hAnsi="Calibri"/>
                <w:sz w:val="20"/>
                <w:szCs w:val="20"/>
              </w:rPr>
            </w:pPr>
            <w:r w:rsidRPr="00847A32">
              <w:rPr>
                <w:rFonts w:ascii="仿宋_GB2312" w:eastAsia="仿宋_GB2312" w:hAnsi="Calibri" w:hint="eastAsia"/>
                <w:sz w:val="20"/>
                <w:szCs w:val="20"/>
              </w:rPr>
              <w:t>净资产收益率（%）</w:t>
            </w:r>
          </w:p>
        </w:tc>
        <w:tc>
          <w:tcPr>
            <w:tcW w:w="1895" w:type="dxa"/>
            <w:tcBorders>
              <w:top w:val="outset" w:sz="6" w:space="0" w:color="auto"/>
              <w:left w:val="outset" w:sz="6" w:space="0" w:color="auto"/>
              <w:bottom w:val="outset" w:sz="6" w:space="0" w:color="auto"/>
              <w:right w:val="outset" w:sz="6" w:space="0" w:color="auto"/>
            </w:tcBorders>
          </w:tcPr>
          <w:p w:rsidR="00E655F3" w:rsidRPr="00847A32" w:rsidRDefault="00E655F3" w:rsidP="002B48F9">
            <w:pPr>
              <w:spacing w:line="560" w:lineRule="exact"/>
              <w:jc w:val="right"/>
              <w:rPr>
                <w:rFonts w:ascii="仿宋_GB2312" w:eastAsia="仿宋_GB2312" w:hAnsi="Calibri"/>
                <w:color w:val="000000"/>
                <w:sz w:val="20"/>
                <w:szCs w:val="20"/>
              </w:rPr>
            </w:pPr>
            <w:r>
              <w:rPr>
                <w:rFonts w:ascii="仿宋_GB2312" w:eastAsia="仿宋_GB2312" w:hAnsi="Calibri" w:hint="eastAsia"/>
                <w:color w:val="000000"/>
                <w:sz w:val="20"/>
                <w:szCs w:val="20"/>
              </w:rPr>
              <w:t>-6.89</w:t>
            </w:r>
          </w:p>
        </w:tc>
        <w:tc>
          <w:tcPr>
            <w:tcW w:w="1894" w:type="dxa"/>
            <w:tcBorders>
              <w:top w:val="outset" w:sz="6" w:space="0" w:color="auto"/>
              <w:left w:val="outset" w:sz="6" w:space="0" w:color="auto"/>
              <w:bottom w:val="outset" w:sz="6" w:space="0" w:color="auto"/>
              <w:right w:val="outset" w:sz="6" w:space="0" w:color="auto"/>
            </w:tcBorders>
          </w:tcPr>
          <w:p w:rsidR="00E655F3" w:rsidRPr="00847A32" w:rsidRDefault="00E655F3" w:rsidP="00C03908">
            <w:pPr>
              <w:spacing w:line="560" w:lineRule="exact"/>
              <w:jc w:val="right"/>
              <w:rPr>
                <w:rFonts w:ascii="仿宋_GB2312" w:eastAsia="仿宋_GB2312" w:hAnsi="Calibri"/>
                <w:color w:val="000000"/>
                <w:sz w:val="20"/>
                <w:szCs w:val="20"/>
              </w:rPr>
            </w:pPr>
            <w:r w:rsidRPr="00847A32">
              <w:rPr>
                <w:rFonts w:ascii="仿宋_GB2312" w:eastAsia="仿宋_GB2312" w:hAnsi="Calibri" w:hint="eastAsia"/>
                <w:color w:val="000000"/>
                <w:sz w:val="20"/>
                <w:szCs w:val="20"/>
              </w:rPr>
              <w:t>-6.84</w:t>
            </w:r>
          </w:p>
        </w:tc>
      </w:tr>
    </w:tbl>
    <w:p w:rsidR="00C5511A" w:rsidRPr="00847A32" w:rsidRDefault="00C5511A" w:rsidP="002B48F9">
      <w:pPr>
        <w:spacing w:line="560" w:lineRule="exact"/>
        <w:rPr>
          <w:rFonts w:ascii="仿宋_GB2312" w:eastAsia="仿宋_GB2312" w:hAnsi="宋体" w:cs="Tahoma"/>
          <w:kern w:val="0"/>
          <w:sz w:val="24"/>
        </w:rPr>
      </w:pPr>
      <w:r w:rsidRPr="00847A32">
        <w:rPr>
          <w:rFonts w:ascii="仿宋_GB2312" w:eastAsia="仿宋_GB2312" w:hAnsi="ˎ̥" w:cs="Tahoma" w:hint="eastAsia"/>
          <w:kern w:val="0"/>
          <w:sz w:val="24"/>
        </w:rPr>
        <w:t>注：</w:t>
      </w:r>
      <w:r w:rsidRPr="00847A32">
        <w:rPr>
          <w:rFonts w:ascii="仿宋_GB2312" w:eastAsia="仿宋_GB2312" w:hAnsi="宋体" w:cs="Tahoma" w:hint="eastAsia"/>
          <w:kern w:val="0"/>
          <w:sz w:val="24"/>
        </w:rPr>
        <w:t xml:space="preserve">净资产收益率＝净利润/（年初股东权益/2＋年末股东权益/2）×100%。 </w:t>
      </w:r>
    </w:p>
    <w:p w:rsidR="00C5511A" w:rsidRPr="00847A32" w:rsidRDefault="00C5511A" w:rsidP="002B48F9">
      <w:pPr>
        <w:spacing w:line="560" w:lineRule="exact"/>
        <w:ind w:firstLine="570"/>
        <w:rPr>
          <w:rFonts w:ascii="仿宋_GB2312" w:eastAsia="仿宋_GB2312" w:hAnsi="宋体" w:cs="Tahoma"/>
          <w:kern w:val="0"/>
          <w:sz w:val="30"/>
          <w:szCs w:val="30"/>
        </w:rPr>
      </w:pPr>
      <w:r w:rsidRPr="00075595">
        <w:rPr>
          <w:rFonts w:ascii="仿宋_GB2312" w:eastAsia="仿宋_GB2312" w:hAnsi="宋体" w:cs="Tahoma" w:hint="eastAsia"/>
          <w:kern w:val="0"/>
          <w:sz w:val="30"/>
          <w:szCs w:val="30"/>
        </w:rPr>
        <w:lastRenderedPageBreak/>
        <w:t>三、报告期末主要合规性监管指标　　　　单位：人民币万元、%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6"/>
        <w:gridCol w:w="2743"/>
        <w:gridCol w:w="1196"/>
        <w:gridCol w:w="1196"/>
        <w:gridCol w:w="1196"/>
      </w:tblGrid>
      <w:tr w:rsidR="00C5511A" w:rsidRPr="00847A32" w:rsidTr="006B1C08">
        <w:trPr>
          <w:trHeight w:val="443"/>
          <w:jc w:val="center"/>
        </w:trPr>
        <w:tc>
          <w:tcPr>
            <w:tcW w:w="173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指标分类</w:t>
            </w:r>
          </w:p>
        </w:tc>
        <w:tc>
          <w:tcPr>
            <w:tcW w:w="2743"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指标名称</w:t>
            </w:r>
          </w:p>
        </w:tc>
        <w:tc>
          <w:tcPr>
            <w:tcW w:w="1196" w:type="dxa"/>
            <w:vAlign w:val="center"/>
          </w:tcPr>
          <w:p w:rsidR="00C5511A" w:rsidRPr="00847A32" w:rsidRDefault="00C5511A" w:rsidP="002B48F9">
            <w:pPr>
              <w:spacing w:line="560" w:lineRule="exact"/>
              <w:jc w:val="center"/>
              <w:rPr>
                <w:rFonts w:ascii="仿宋_GB2312" w:eastAsia="仿宋_GB2312" w:hAnsi="Calibri"/>
              </w:rPr>
            </w:pPr>
            <w:r w:rsidRPr="00847A32">
              <w:rPr>
                <w:rFonts w:ascii="仿宋_GB2312" w:eastAsia="仿宋_GB2312" w:hAnsi="Calibri" w:hint="eastAsia"/>
              </w:rPr>
              <w:t>标准值</w:t>
            </w:r>
          </w:p>
        </w:tc>
        <w:tc>
          <w:tcPr>
            <w:tcW w:w="1196" w:type="dxa"/>
            <w:vAlign w:val="center"/>
          </w:tcPr>
          <w:p w:rsidR="00C5511A" w:rsidRPr="00847A32" w:rsidRDefault="00C5511A" w:rsidP="00BE7DF0">
            <w:pPr>
              <w:spacing w:line="560" w:lineRule="exact"/>
              <w:jc w:val="center"/>
              <w:rPr>
                <w:rFonts w:ascii="仿宋_GB2312" w:eastAsia="仿宋_GB2312" w:hAnsi="Calibri"/>
              </w:rPr>
            </w:pPr>
            <w:r w:rsidRPr="00847A32">
              <w:rPr>
                <w:rFonts w:ascii="仿宋_GB2312" w:eastAsia="仿宋_GB2312" w:hAnsi="Calibri" w:hint="eastAsia"/>
              </w:rPr>
              <w:t>201</w:t>
            </w:r>
            <w:r w:rsidR="00BE7DF0">
              <w:rPr>
                <w:rFonts w:ascii="仿宋_GB2312" w:eastAsia="仿宋_GB2312" w:hAnsi="Calibri" w:hint="eastAsia"/>
              </w:rPr>
              <w:t>9</w:t>
            </w:r>
            <w:r w:rsidRPr="00847A32">
              <w:rPr>
                <w:rFonts w:ascii="仿宋_GB2312" w:eastAsia="仿宋_GB2312" w:hAnsi="Calibri" w:hint="eastAsia"/>
              </w:rPr>
              <w:t>年</w:t>
            </w:r>
          </w:p>
        </w:tc>
        <w:tc>
          <w:tcPr>
            <w:tcW w:w="1196" w:type="dxa"/>
            <w:vAlign w:val="center"/>
          </w:tcPr>
          <w:p w:rsidR="00C5511A" w:rsidRPr="00847A32" w:rsidRDefault="00C5511A" w:rsidP="00BE7DF0">
            <w:pPr>
              <w:spacing w:line="560" w:lineRule="exact"/>
              <w:jc w:val="center"/>
              <w:rPr>
                <w:rFonts w:ascii="仿宋_GB2312" w:eastAsia="仿宋_GB2312" w:hAnsi="Calibri"/>
              </w:rPr>
            </w:pPr>
            <w:r w:rsidRPr="00847A32">
              <w:rPr>
                <w:rFonts w:ascii="仿宋_GB2312" w:eastAsia="仿宋_GB2312" w:hAnsi="Calibri" w:hint="eastAsia"/>
              </w:rPr>
              <w:t>201</w:t>
            </w:r>
            <w:r w:rsidR="00BE7DF0">
              <w:rPr>
                <w:rFonts w:ascii="仿宋_GB2312" w:eastAsia="仿宋_GB2312" w:hAnsi="Calibri" w:hint="eastAsia"/>
              </w:rPr>
              <w:t>8</w:t>
            </w:r>
            <w:r w:rsidRPr="00847A32">
              <w:rPr>
                <w:rFonts w:ascii="仿宋_GB2312" w:eastAsia="仿宋_GB2312" w:hAnsi="Calibri" w:hint="eastAsia"/>
              </w:rPr>
              <w:t>年</w:t>
            </w:r>
          </w:p>
        </w:tc>
      </w:tr>
      <w:tr w:rsidR="00BE7DF0" w:rsidRPr="00847A32" w:rsidTr="006B1C08">
        <w:trPr>
          <w:trHeight w:val="443"/>
          <w:jc w:val="center"/>
        </w:trPr>
        <w:tc>
          <w:tcPr>
            <w:tcW w:w="1736" w:type="dxa"/>
            <w:vMerge w:val="restart"/>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资本充足状况</w:t>
            </w:r>
          </w:p>
          <w:p w:rsidR="00BE7DF0" w:rsidRPr="00847A32" w:rsidRDefault="00BE7DF0" w:rsidP="002B48F9">
            <w:pPr>
              <w:spacing w:line="560" w:lineRule="exact"/>
              <w:jc w:val="center"/>
              <w:rPr>
                <w:rFonts w:ascii="仿宋_GB2312" w:eastAsia="仿宋_GB2312" w:hAnsi="Calibri"/>
              </w:rPr>
            </w:pPr>
          </w:p>
        </w:tc>
        <w:tc>
          <w:tcPr>
            <w:tcW w:w="2743" w:type="dxa"/>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资本充足率</w:t>
            </w:r>
          </w:p>
        </w:tc>
        <w:tc>
          <w:tcPr>
            <w:tcW w:w="1196" w:type="dxa"/>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≥8</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37.13</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38.93</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核心资本充足率</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≥4</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36.04</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37.86</w:t>
            </w:r>
          </w:p>
        </w:tc>
      </w:tr>
      <w:tr w:rsidR="00BE7DF0" w:rsidRPr="00847A32" w:rsidTr="006B1C08">
        <w:trPr>
          <w:trHeight w:val="443"/>
          <w:jc w:val="center"/>
        </w:trPr>
        <w:tc>
          <w:tcPr>
            <w:tcW w:w="1736" w:type="dxa"/>
            <w:vMerge w:val="restart"/>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资产安全状况</w:t>
            </w:r>
          </w:p>
          <w:p w:rsidR="00BE7DF0" w:rsidRPr="00847A32" w:rsidRDefault="00BE7DF0" w:rsidP="002B48F9">
            <w:pPr>
              <w:spacing w:line="560" w:lineRule="exact"/>
              <w:jc w:val="center"/>
              <w:rPr>
                <w:rFonts w:ascii="仿宋_GB2312" w:eastAsia="仿宋_GB2312" w:hAnsi="Calibri"/>
              </w:rPr>
            </w:pPr>
          </w:p>
        </w:tc>
        <w:tc>
          <w:tcPr>
            <w:tcW w:w="2743" w:type="dxa"/>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不良贷款率</w:t>
            </w:r>
          </w:p>
        </w:tc>
        <w:tc>
          <w:tcPr>
            <w:tcW w:w="1196" w:type="dxa"/>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≤5</w:t>
            </w:r>
          </w:p>
        </w:tc>
        <w:tc>
          <w:tcPr>
            <w:tcW w:w="1196" w:type="dxa"/>
            <w:vAlign w:val="center"/>
          </w:tcPr>
          <w:p w:rsidR="00BE7DF0" w:rsidRPr="00847A32" w:rsidRDefault="00C03908" w:rsidP="002B48F9">
            <w:pPr>
              <w:spacing w:line="560" w:lineRule="exact"/>
              <w:jc w:val="center"/>
              <w:rPr>
                <w:rFonts w:ascii="仿宋_GB2312" w:eastAsia="仿宋_GB2312" w:hAnsi="Calibri"/>
                <w:sz w:val="22"/>
              </w:rPr>
            </w:pPr>
            <w:r>
              <w:rPr>
                <w:rFonts w:ascii="仿宋_GB2312" w:eastAsia="仿宋_GB2312" w:hAnsi="Calibri" w:hint="eastAsia"/>
                <w:sz w:val="22"/>
              </w:rPr>
              <w:t>9.97</w:t>
            </w:r>
          </w:p>
        </w:tc>
        <w:tc>
          <w:tcPr>
            <w:tcW w:w="1196" w:type="dxa"/>
            <w:vAlign w:val="center"/>
          </w:tcPr>
          <w:p w:rsidR="00BE7DF0" w:rsidRPr="00847A32" w:rsidRDefault="00BE7DF0" w:rsidP="00C03908">
            <w:pPr>
              <w:spacing w:line="560" w:lineRule="exact"/>
              <w:jc w:val="center"/>
              <w:rPr>
                <w:rFonts w:ascii="仿宋_GB2312" w:eastAsia="仿宋_GB2312" w:hAnsi="Calibri"/>
                <w:sz w:val="22"/>
              </w:rPr>
            </w:pPr>
            <w:r w:rsidRPr="00847A32">
              <w:rPr>
                <w:rFonts w:ascii="仿宋_GB2312" w:eastAsia="仿宋_GB2312" w:hAnsi="Calibri" w:hint="eastAsia"/>
                <w:sz w:val="22"/>
              </w:rPr>
              <w:t>9.66</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不良资产率</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≤3</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7.37</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8.70</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单一集团客户授信集中度</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≤15</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13.54</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9.15</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单一客户贷款集中度</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8.67</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7.54</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全部关联度</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≤50</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47.05</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15.38</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贷款损失准备充足率</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≥100</w:t>
            </w:r>
          </w:p>
        </w:tc>
        <w:tc>
          <w:tcPr>
            <w:tcW w:w="1196" w:type="dxa"/>
            <w:vAlign w:val="center"/>
          </w:tcPr>
          <w:p w:rsidR="00BE7DF0" w:rsidRPr="00847A32" w:rsidRDefault="00C03908" w:rsidP="002B48F9">
            <w:pPr>
              <w:widowControl/>
              <w:spacing w:line="560" w:lineRule="exact"/>
              <w:ind w:firstLineChars="100" w:firstLine="200"/>
              <w:rPr>
                <w:rFonts w:ascii="仿宋_GB2312" w:eastAsia="仿宋_GB2312" w:hAnsi="Calibri"/>
                <w:kern w:val="0"/>
                <w:sz w:val="20"/>
                <w:szCs w:val="20"/>
              </w:rPr>
            </w:pPr>
            <w:r>
              <w:rPr>
                <w:rFonts w:ascii="仿宋_GB2312" w:eastAsia="仿宋_GB2312" w:hAnsi="Calibri" w:hint="eastAsia"/>
                <w:kern w:val="0"/>
                <w:sz w:val="20"/>
                <w:szCs w:val="20"/>
              </w:rPr>
              <w:t>80.96</w:t>
            </w:r>
          </w:p>
        </w:tc>
        <w:tc>
          <w:tcPr>
            <w:tcW w:w="1196" w:type="dxa"/>
            <w:vAlign w:val="center"/>
          </w:tcPr>
          <w:p w:rsidR="00BE7DF0" w:rsidRPr="00847A32" w:rsidRDefault="00BE7DF0" w:rsidP="00C03908">
            <w:pPr>
              <w:widowControl/>
              <w:spacing w:line="560" w:lineRule="exact"/>
              <w:ind w:firstLineChars="100" w:firstLine="200"/>
              <w:rPr>
                <w:rFonts w:ascii="仿宋_GB2312" w:eastAsia="仿宋_GB2312" w:hAnsi="Calibri"/>
                <w:kern w:val="0"/>
                <w:sz w:val="20"/>
                <w:szCs w:val="20"/>
              </w:rPr>
            </w:pPr>
            <w:r w:rsidRPr="00847A32">
              <w:rPr>
                <w:rFonts w:ascii="仿宋_GB2312" w:eastAsia="仿宋_GB2312" w:hAnsi="Calibri" w:hint="eastAsia"/>
                <w:kern w:val="0"/>
                <w:sz w:val="20"/>
                <w:szCs w:val="20"/>
              </w:rPr>
              <w:t>78.80</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资产损失准备充足率</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≥100</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80.96</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78.80</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拨备覆盖率</w:t>
            </w:r>
          </w:p>
        </w:tc>
        <w:tc>
          <w:tcPr>
            <w:tcW w:w="1196"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≥100</w:t>
            </w:r>
          </w:p>
        </w:tc>
        <w:tc>
          <w:tcPr>
            <w:tcW w:w="1196" w:type="dxa"/>
            <w:vAlign w:val="center"/>
          </w:tcPr>
          <w:p w:rsidR="00BE7DF0" w:rsidRPr="00847A32" w:rsidRDefault="00C03908" w:rsidP="00C03908">
            <w:pPr>
              <w:jc w:val="center"/>
              <w:rPr>
                <w:rFonts w:ascii="仿宋_GB2312" w:eastAsia="仿宋_GB2312" w:hAnsi="Calibri"/>
                <w:kern w:val="0"/>
                <w:sz w:val="20"/>
                <w:szCs w:val="20"/>
              </w:rPr>
            </w:pPr>
            <w:r>
              <w:rPr>
                <w:rFonts w:hint="eastAsia"/>
                <w:sz w:val="20"/>
                <w:szCs w:val="20"/>
              </w:rPr>
              <w:t>121.44</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118.21</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授信集中度</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bookmarkStart w:id="1" w:name="_GoBack"/>
            <w:bookmarkEnd w:id="1"/>
          </w:p>
        </w:tc>
      </w:tr>
      <w:tr w:rsidR="00BE7DF0" w:rsidRPr="00847A32" w:rsidTr="006B1C08">
        <w:trPr>
          <w:trHeight w:val="443"/>
          <w:jc w:val="center"/>
        </w:trPr>
        <w:tc>
          <w:tcPr>
            <w:tcW w:w="1736" w:type="dxa"/>
            <w:vMerge w:val="restart"/>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盈利状况</w:t>
            </w:r>
          </w:p>
          <w:p w:rsidR="00BE7DF0" w:rsidRPr="00847A32" w:rsidRDefault="00BE7DF0" w:rsidP="002B48F9">
            <w:pPr>
              <w:spacing w:line="560" w:lineRule="exact"/>
              <w:jc w:val="center"/>
              <w:rPr>
                <w:rFonts w:ascii="仿宋_GB2312" w:eastAsia="仿宋_GB2312" w:hAnsi="Calibri"/>
              </w:rPr>
            </w:pPr>
          </w:p>
        </w:tc>
        <w:tc>
          <w:tcPr>
            <w:tcW w:w="2743" w:type="dxa"/>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资产利润率</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≥0.6</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-1.67</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-1.77</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资本利润率</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-6.89</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-6.84</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成本收入比率</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≤45</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83.48</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109.62</w:t>
            </w:r>
          </w:p>
        </w:tc>
      </w:tr>
      <w:tr w:rsidR="00BE7DF0" w:rsidRPr="00847A32" w:rsidTr="006B1C08">
        <w:trPr>
          <w:trHeight w:val="443"/>
          <w:jc w:val="center"/>
        </w:trPr>
        <w:tc>
          <w:tcPr>
            <w:tcW w:w="1736" w:type="dxa"/>
            <w:vMerge w:val="restart"/>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流动性状况</w:t>
            </w:r>
          </w:p>
          <w:p w:rsidR="00BE7DF0" w:rsidRPr="00847A32" w:rsidRDefault="00BE7DF0" w:rsidP="002B48F9">
            <w:pPr>
              <w:spacing w:line="560" w:lineRule="exact"/>
              <w:jc w:val="center"/>
              <w:rPr>
                <w:rFonts w:ascii="仿宋_GB2312" w:eastAsia="仿宋_GB2312" w:hAnsi="Calibri"/>
              </w:rPr>
            </w:pPr>
          </w:p>
        </w:tc>
        <w:tc>
          <w:tcPr>
            <w:tcW w:w="2743" w:type="dxa"/>
            <w:vAlign w:val="center"/>
          </w:tcPr>
          <w:p w:rsidR="00BE7DF0" w:rsidRPr="00847A32" w:rsidRDefault="00BE7DF0" w:rsidP="002B48F9">
            <w:pPr>
              <w:spacing w:line="560" w:lineRule="exact"/>
              <w:jc w:val="center"/>
              <w:rPr>
                <w:rFonts w:ascii="仿宋_GB2312" w:eastAsia="仿宋_GB2312" w:hAnsi="Calibri"/>
              </w:rPr>
            </w:pPr>
            <w:r w:rsidRPr="00847A32">
              <w:rPr>
                <w:rFonts w:ascii="仿宋_GB2312" w:eastAsia="仿宋_GB2312" w:hAnsi="Calibri" w:hint="eastAsia"/>
              </w:rPr>
              <w:t>流动性比例</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≥25</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80</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55.15</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流动性覆盖率</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≥100</w:t>
            </w:r>
          </w:p>
        </w:tc>
        <w:tc>
          <w:tcPr>
            <w:tcW w:w="1196" w:type="dxa"/>
            <w:vAlign w:val="center"/>
          </w:tcPr>
          <w:p w:rsidR="00C03908" w:rsidRPr="00847A32" w:rsidRDefault="00C03908" w:rsidP="00C03908">
            <w:pPr>
              <w:widowControl/>
              <w:spacing w:line="560" w:lineRule="exact"/>
              <w:ind w:firstLineChars="50" w:firstLine="100"/>
              <w:rPr>
                <w:rFonts w:ascii="仿宋_GB2312" w:eastAsia="仿宋_GB2312" w:hAnsi="Calibri"/>
                <w:kern w:val="0"/>
                <w:sz w:val="20"/>
                <w:szCs w:val="20"/>
              </w:rPr>
            </w:pPr>
            <w:r>
              <w:rPr>
                <w:rFonts w:ascii="仿宋_GB2312" w:eastAsia="仿宋_GB2312" w:hAnsi="Calibri" w:hint="eastAsia"/>
                <w:kern w:val="0"/>
                <w:sz w:val="20"/>
                <w:szCs w:val="20"/>
              </w:rPr>
              <w:t>125.63</w:t>
            </w:r>
          </w:p>
        </w:tc>
        <w:tc>
          <w:tcPr>
            <w:tcW w:w="1196" w:type="dxa"/>
            <w:vAlign w:val="center"/>
          </w:tcPr>
          <w:p w:rsidR="00BE7DF0" w:rsidRPr="00847A32" w:rsidRDefault="00BE7DF0" w:rsidP="00C03908">
            <w:pPr>
              <w:widowControl/>
              <w:spacing w:line="560" w:lineRule="exact"/>
              <w:rPr>
                <w:rFonts w:ascii="仿宋_GB2312" w:eastAsia="仿宋_GB2312" w:hAnsi="Calibri"/>
                <w:kern w:val="0"/>
                <w:sz w:val="20"/>
                <w:szCs w:val="20"/>
              </w:rPr>
            </w:pPr>
            <w:r w:rsidRPr="00847A32">
              <w:rPr>
                <w:rFonts w:ascii="仿宋_GB2312" w:eastAsia="仿宋_GB2312" w:hAnsi="Calibri" w:hint="eastAsia"/>
                <w:kern w:val="0"/>
                <w:sz w:val="20"/>
                <w:szCs w:val="20"/>
              </w:rPr>
              <w:t xml:space="preserve">   540</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净稳定资金比例</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≥100</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121.63</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119.90</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宋体" w:cs="宋体"/>
                <w:kern w:val="0"/>
                <w:sz w:val="20"/>
                <w:szCs w:val="20"/>
              </w:rPr>
            </w:pPr>
            <w:r w:rsidRPr="00847A32">
              <w:rPr>
                <w:rFonts w:ascii="仿宋_GB2312" w:eastAsia="仿宋_GB2312" w:hAnsi="Calibri" w:hint="eastAsia"/>
              </w:rPr>
              <w:t>超额备付率</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≥3</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3.97</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4.77</w:t>
            </w:r>
          </w:p>
        </w:tc>
      </w:tr>
      <w:tr w:rsidR="00BE7DF0" w:rsidRPr="00847A32" w:rsidTr="006B1C08">
        <w:trPr>
          <w:trHeight w:val="443"/>
          <w:jc w:val="center"/>
        </w:trPr>
        <w:tc>
          <w:tcPr>
            <w:tcW w:w="1736" w:type="dxa"/>
            <w:vMerge/>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p>
        </w:tc>
        <w:tc>
          <w:tcPr>
            <w:tcW w:w="2743"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rPr>
              <w:t>存贷比率</w:t>
            </w:r>
          </w:p>
        </w:tc>
        <w:tc>
          <w:tcPr>
            <w:tcW w:w="1196" w:type="dxa"/>
            <w:vAlign w:val="center"/>
          </w:tcPr>
          <w:p w:rsidR="00BE7DF0" w:rsidRPr="00847A32" w:rsidRDefault="00BE7DF0" w:rsidP="002B48F9">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≤75</w:t>
            </w:r>
          </w:p>
        </w:tc>
        <w:tc>
          <w:tcPr>
            <w:tcW w:w="1196" w:type="dxa"/>
            <w:vAlign w:val="center"/>
          </w:tcPr>
          <w:p w:rsidR="00BE7DF0" w:rsidRPr="00847A32" w:rsidRDefault="00C03908" w:rsidP="002B48F9">
            <w:pPr>
              <w:widowControl/>
              <w:spacing w:line="560" w:lineRule="exact"/>
              <w:jc w:val="center"/>
              <w:rPr>
                <w:rFonts w:ascii="仿宋_GB2312" w:eastAsia="仿宋_GB2312" w:hAnsi="Calibri"/>
                <w:kern w:val="0"/>
                <w:sz w:val="20"/>
                <w:szCs w:val="20"/>
              </w:rPr>
            </w:pPr>
            <w:r>
              <w:rPr>
                <w:rFonts w:ascii="仿宋_GB2312" w:eastAsia="仿宋_GB2312" w:hAnsi="Calibri" w:hint="eastAsia"/>
                <w:kern w:val="0"/>
                <w:sz w:val="20"/>
                <w:szCs w:val="20"/>
              </w:rPr>
              <w:t>121.72</w:t>
            </w:r>
          </w:p>
        </w:tc>
        <w:tc>
          <w:tcPr>
            <w:tcW w:w="1196" w:type="dxa"/>
            <w:vAlign w:val="center"/>
          </w:tcPr>
          <w:p w:rsidR="00BE7DF0" w:rsidRPr="00847A32" w:rsidRDefault="00BE7DF0" w:rsidP="00C03908">
            <w:pPr>
              <w:widowControl/>
              <w:spacing w:line="560" w:lineRule="exact"/>
              <w:jc w:val="center"/>
              <w:rPr>
                <w:rFonts w:ascii="仿宋_GB2312" w:eastAsia="仿宋_GB2312" w:hAnsi="Calibri"/>
                <w:kern w:val="0"/>
                <w:sz w:val="20"/>
                <w:szCs w:val="20"/>
              </w:rPr>
            </w:pPr>
            <w:r w:rsidRPr="00847A32">
              <w:rPr>
                <w:rFonts w:ascii="仿宋_GB2312" w:eastAsia="仿宋_GB2312" w:hAnsi="Calibri" w:hint="eastAsia"/>
                <w:kern w:val="0"/>
                <w:sz w:val="20"/>
                <w:szCs w:val="20"/>
              </w:rPr>
              <w:t>132.56</w:t>
            </w:r>
          </w:p>
        </w:tc>
      </w:tr>
    </w:tbl>
    <w:p w:rsidR="00C5511A" w:rsidRPr="00847A32" w:rsidRDefault="00C5511A" w:rsidP="002B48F9">
      <w:pPr>
        <w:spacing w:line="560" w:lineRule="exact"/>
        <w:rPr>
          <w:rFonts w:ascii="仿宋_GB2312" w:eastAsia="仿宋_GB2312" w:hAnsi="宋体" w:cs="Tahoma"/>
          <w:kern w:val="0"/>
          <w:sz w:val="24"/>
        </w:rPr>
      </w:pPr>
      <w:r w:rsidRPr="00847A32">
        <w:rPr>
          <w:rFonts w:ascii="仿宋_GB2312" w:eastAsia="仿宋_GB2312" w:hAnsi="宋体" w:cs="Tahoma" w:hint="eastAsia"/>
          <w:kern w:val="0"/>
          <w:sz w:val="24"/>
        </w:rPr>
        <w:t>注： 资产利润率＝净利润/（年初资产总额/2＋年末资产总额/2）×100%</w:t>
      </w:r>
    </w:p>
    <w:p w:rsidR="00C5511A" w:rsidRPr="00847A32" w:rsidRDefault="00C5511A" w:rsidP="002B48F9">
      <w:pPr>
        <w:spacing w:line="560" w:lineRule="exact"/>
        <w:ind w:firstLineChars="250" w:firstLine="600"/>
        <w:rPr>
          <w:rFonts w:ascii="仿宋_GB2312" w:eastAsia="仿宋_GB2312" w:hAnsi="宋体" w:cs="Tahoma"/>
          <w:kern w:val="0"/>
          <w:sz w:val="24"/>
        </w:rPr>
      </w:pPr>
      <w:r w:rsidRPr="00847A32">
        <w:rPr>
          <w:rFonts w:ascii="仿宋_GB2312" w:eastAsia="仿宋_GB2312" w:hAnsi="宋体" w:cs="Tahoma" w:hint="eastAsia"/>
          <w:kern w:val="0"/>
          <w:sz w:val="24"/>
        </w:rPr>
        <w:lastRenderedPageBreak/>
        <w:t>资本利润率＝净利润/（年初所有者权益/2＋年末所有者权益/2）×100%</w:t>
      </w:r>
    </w:p>
    <w:p w:rsidR="00C5511A" w:rsidRPr="00075595" w:rsidRDefault="00C5511A" w:rsidP="002B48F9">
      <w:pPr>
        <w:spacing w:line="560" w:lineRule="exact"/>
        <w:ind w:firstLine="570"/>
        <w:rPr>
          <w:rFonts w:ascii="仿宋_GB2312" w:eastAsia="仿宋_GB2312" w:hAnsi="宋体" w:cs="Tahoma"/>
          <w:kern w:val="0"/>
          <w:sz w:val="30"/>
          <w:szCs w:val="30"/>
        </w:rPr>
      </w:pPr>
      <w:r w:rsidRPr="00847A32">
        <w:rPr>
          <w:rFonts w:ascii="仿宋_GB2312" w:eastAsia="仿宋_GB2312" w:hAnsi="宋体" w:cs="Tahoma" w:hint="eastAsia"/>
          <w:kern w:val="0"/>
          <w:sz w:val="30"/>
          <w:szCs w:val="30"/>
        </w:rPr>
        <w:t>四</w:t>
      </w:r>
      <w:r w:rsidRPr="00075595">
        <w:rPr>
          <w:rFonts w:ascii="仿宋_GB2312" w:eastAsia="仿宋_GB2312" w:hAnsi="宋体" w:cs="Tahoma" w:hint="eastAsia"/>
          <w:kern w:val="0"/>
          <w:sz w:val="30"/>
          <w:szCs w:val="30"/>
        </w:rPr>
        <w:t>、股东权益变动情况　　　　　　　　　单位：人民币万元</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605"/>
        <w:gridCol w:w="1195"/>
        <w:gridCol w:w="1193"/>
        <w:gridCol w:w="1191"/>
        <w:gridCol w:w="1060"/>
        <w:gridCol w:w="1189"/>
        <w:gridCol w:w="1326"/>
      </w:tblGrid>
      <w:tr w:rsidR="00C5511A" w:rsidRPr="00075595" w:rsidTr="006B1C08">
        <w:trPr>
          <w:trHeight w:val="50"/>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项　　　目</w:t>
            </w:r>
          </w:p>
        </w:tc>
        <w:tc>
          <w:tcPr>
            <w:tcW w:w="119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股本</w:t>
            </w:r>
          </w:p>
        </w:tc>
        <w:tc>
          <w:tcPr>
            <w:tcW w:w="1193"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资本公积</w:t>
            </w:r>
          </w:p>
        </w:tc>
        <w:tc>
          <w:tcPr>
            <w:tcW w:w="1191"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盈余公积</w:t>
            </w:r>
          </w:p>
        </w:tc>
        <w:tc>
          <w:tcPr>
            <w:tcW w:w="1060"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一般准备</w:t>
            </w:r>
          </w:p>
        </w:tc>
        <w:tc>
          <w:tcPr>
            <w:tcW w:w="1189"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未分配利润</w:t>
            </w:r>
          </w:p>
        </w:tc>
        <w:tc>
          <w:tcPr>
            <w:tcW w:w="1326"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股东权益合计</w:t>
            </w:r>
          </w:p>
        </w:tc>
      </w:tr>
      <w:tr w:rsidR="002628BF" w:rsidRPr="00075595"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2628BF"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期初数</w:t>
            </w:r>
          </w:p>
        </w:tc>
        <w:tc>
          <w:tcPr>
            <w:tcW w:w="1195" w:type="dxa"/>
            <w:tcBorders>
              <w:top w:val="outset" w:sz="6" w:space="0" w:color="auto"/>
              <w:left w:val="outset" w:sz="6" w:space="0" w:color="auto"/>
              <w:bottom w:val="outset" w:sz="6" w:space="0" w:color="auto"/>
              <w:right w:val="outset" w:sz="6" w:space="0" w:color="auto"/>
            </w:tcBorders>
          </w:tcPr>
          <w:p w:rsidR="002628BF"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30300</w:t>
            </w:r>
          </w:p>
        </w:tc>
        <w:tc>
          <w:tcPr>
            <w:tcW w:w="1193" w:type="dxa"/>
            <w:tcBorders>
              <w:top w:val="outset" w:sz="6" w:space="0" w:color="auto"/>
              <w:left w:val="outset" w:sz="6" w:space="0" w:color="auto"/>
              <w:bottom w:val="outset" w:sz="6" w:space="0" w:color="auto"/>
              <w:right w:val="outset" w:sz="6" w:space="0" w:color="auto"/>
            </w:tcBorders>
          </w:tcPr>
          <w:p w:rsidR="002628BF"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2628BF"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2628BF" w:rsidRPr="00075595" w:rsidRDefault="002628BF" w:rsidP="0045011A">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2.46</w:t>
            </w:r>
          </w:p>
        </w:tc>
        <w:tc>
          <w:tcPr>
            <w:tcW w:w="1189" w:type="dxa"/>
            <w:tcBorders>
              <w:top w:val="outset" w:sz="6" w:space="0" w:color="auto"/>
              <w:left w:val="outset" w:sz="6" w:space="0" w:color="auto"/>
              <w:bottom w:val="outset" w:sz="6" w:space="0" w:color="auto"/>
              <w:right w:val="outset" w:sz="6" w:space="0" w:color="auto"/>
            </w:tcBorders>
          </w:tcPr>
          <w:p w:rsidR="002628BF" w:rsidRPr="00075595" w:rsidRDefault="002628BF" w:rsidP="0045011A">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-4782.62</w:t>
            </w:r>
          </w:p>
        </w:tc>
        <w:tc>
          <w:tcPr>
            <w:tcW w:w="1326" w:type="dxa"/>
            <w:tcBorders>
              <w:top w:val="outset" w:sz="6" w:space="0" w:color="auto"/>
              <w:left w:val="outset" w:sz="6" w:space="0" w:color="auto"/>
              <w:bottom w:val="outset" w:sz="6" w:space="0" w:color="auto"/>
              <w:right w:val="outset" w:sz="6" w:space="0" w:color="auto"/>
            </w:tcBorders>
          </w:tcPr>
          <w:p w:rsidR="002628BF" w:rsidRPr="00075595" w:rsidRDefault="002628BF" w:rsidP="0045011A">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25519.84</w:t>
            </w:r>
          </w:p>
        </w:tc>
      </w:tr>
      <w:tr w:rsidR="00C5511A" w:rsidRPr="00075595"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本期增加</w:t>
            </w:r>
          </w:p>
        </w:tc>
        <w:tc>
          <w:tcPr>
            <w:tcW w:w="119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193"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1233</w:t>
            </w:r>
          </w:p>
        </w:tc>
        <w:tc>
          <w:tcPr>
            <w:tcW w:w="1189"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p>
        </w:tc>
        <w:tc>
          <w:tcPr>
            <w:tcW w:w="1326"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p>
        </w:tc>
      </w:tr>
      <w:tr w:rsidR="00C5511A" w:rsidRPr="00075595"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本期减少</w:t>
            </w:r>
          </w:p>
        </w:tc>
        <w:tc>
          <w:tcPr>
            <w:tcW w:w="119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193"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1233</w:t>
            </w:r>
          </w:p>
        </w:tc>
        <w:tc>
          <w:tcPr>
            <w:tcW w:w="1189" w:type="dxa"/>
            <w:tcBorders>
              <w:top w:val="outset" w:sz="6" w:space="0" w:color="auto"/>
              <w:left w:val="outset" w:sz="6" w:space="0" w:color="auto"/>
              <w:bottom w:val="outset" w:sz="6" w:space="0" w:color="auto"/>
              <w:right w:val="outset" w:sz="6" w:space="0" w:color="auto"/>
            </w:tcBorders>
          </w:tcPr>
          <w:p w:rsidR="00C5511A"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-1700.05</w:t>
            </w:r>
          </w:p>
        </w:tc>
        <w:tc>
          <w:tcPr>
            <w:tcW w:w="1326"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p>
        </w:tc>
      </w:tr>
      <w:tr w:rsidR="00C5511A" w:rsidRPr="00075595" w:rsidTr="006B1C08">
        <w:trPr>
          <w:trHeight w:val="65"/>
          <w:tblCellSpacing w:w="0" w:type="dxa"/>
        </w:trPr>
        <w:tc>
          <w:tcPr>
            <w:tcW w:w="160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期末数</w:t>
            </w:r>
          </w:p>
        </w:tc>
        <w:tc>
          <w:tcPr>
            <w:tcW w:w="1195"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30300</w:t>
            </w:r>
          </w:p>
        </w:tc>
        <w:tc>
          <w:tcPr>
            <w:tcW w:w="1193"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191"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0</w:t>
            </w:r>
          </w:p>
        </w:tc>
        <w:tc>
          <w:tcPr>
            <w:tcW w:w="1060" w:type="dxa"/>
            <w:tcBorders>
              <w:top w:val="outset" w:sz="6" w:space="0" w:color="auto"/>
              <w:left w:val="outset" w:sz="6" w:space="0" w:color="auto"/>
              <w:bottom w:val="outset" w:sz="6" w:space="0" w:color="auto"/>
              <w:right w:val="outset" w:sz="6" w:space="0" w:color="auto"/>
            </w:tcBorders>
          </w:tcPr>
          <w:p w:rsidR="00C5511A" w:rsidRPr="00075595" w:rsidRDefault="00C5511A"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2.46</w:t>
            </w:r>
          </w:p>
        </w:tc>
        <w:tc>
          <w:tcPr>
            <w:tcW w:w="1189" w:type="dxa"/>
            <w:tcBorders>
              <w:top w:val="outset" w:sz="6" w:space="0" w:color="auto"/>
              <w:left w:val="outset" w:sz="6" w:space="0" w:color="auto"/>
              <w:bottom w:val="outset" w:sz="6" w:space="0" w:color="auto"/>
              <w:right w:val="outset" w:sz="6" w:space="0" w:color="auto"/>
            </w:tcBorders>
          </w:tcPr>
          <w:p w:rsidR="00C5511A" w:rsidRPr="00075595" w:rsidRDefault="002628BF" w:rsidP="002B48F9">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6482.67</w:t>
            </w:r>
          </w:p>
        </w:tc>
        <w:tc>
          <w:tcPr>
            <w:tcW w:w="1326" w:type="dxa"/>
            <w:tcBorders>
              <w:top w:val="outset" w:sz="6" w:space="0" w:color="auto"/>
              <w:left w:val="outset" w:sz="6" w:space="0" w:color="auto"/>
              <w:bottom w:val="outset" w:sz="6" w:space="0" w:color="auto"/>
              <w:right w:val="outset" w:sz="6" w:space="0" w:color="auto"/>
            </w:tcBorders>
          </w:tcPr>
          <w:p w:rsidR="00C5511A" w:rsidRPr="00075595" w:rsidRDefault="002628BF" w:rsidP="002628BF">
            <w:pPr>
              <w:spacing w:line="560" w:lineRule="exact"/>
              <w:jc w:val="center"/>
              <w:rPr>
                <w:rFonts w:ascii="仿宋_GB2312" w:eastAsia="仿宋_GB2312" w:hAnsi="Calibri"/>
                <w:sz w:val="20"/>
                <w:szCs w:val="20"/>
              </w:rPr>
            </w:pPr>
            <w:r w:rsidRPr="00075595">
              <w:rPr>
                <w:rFonts w:ascii="仿宋_GB2312" w:eastAsia="仿宋_GB2312" w:hAnsi="Calibri" w:hint="eastAsia"/>
                <w:sz w:val="20"/>
                <w:szCs w:val="20"/>
              </w:rPr>
              <w:t>23819.79</w:t>
            </w:r>
          </w:p>
        </w:tc>
      </w:tr>
    </w:tbl>
    <w:p w:rsidR="00C5511A" w:rsidRPr="00075595" w:rsidRDefault="00C5511A" w:rsidP="002B48F9">
      <w:pPr>
        <w:spacing w:line="560" w:lineRule="exact"/>
        <w:ind w:firstLine="570"/>
        <w:rPr>
          <w:rFonts w:ascii="仿宋_GB2312" w:eastAsia="仿宋_GB2312" w:hAnsi="宋体" w:cs="Tahoma"/>
          <w:kern w:val="0"/>
          <w:sz w:val="30"/>
          <w:szCs w:val="30"/>
        </w:rPr>
      </w:pPr>
      <w:r w:rsidRPr="00075595">
        <w:rPr>
          <w:rFonts w:ascii="仿宋_GB2312" w:eastAsia="仿宋_GB2312" w:hAnsi="宋体" w:cs="Tahoma" w:hint="eastAsia"/>
          <w:kern w:val="0"/>
          <w:sz w:val="30"/>
          <w:szCs w:val="30"/>
        </w:rPr>
        <w:t>五、关联交易情况</w:t>
      </w:r>
    </w:p>
    <w:p w:rsidR="00C5511A" w:rsidRPr="00075595" w:rsidRDefault="00C5511A" w:rsidP="002F4D06">
      <w:pPr>
        <w:spacing w:line="560" w:lineRule="exact"/>
        <w:ind w:firstLineChars="200" w:firstLine="600"/>
        <w:rPr>
          <w:rFonts w:ascii="仿宋_GB2312" w:eastAsia="仿宋_GB2312" w:hAnsi="ˎ̥" w:cs="Tahoma"/>
          <w:kern w:val="0"/>
          <w:sz w:val="30"/>
          <w:szCs w:val="30"/>
        </w:rPr>
      </w:pPr>
      <w:r w:rsidRPr="00075595">
        <w:rPr>
          <w:rFonts w:ascii="仿宋_GB2312" w:eastAsia="仿宋_GB2312" w:hAnsi="ˎ̥" w:cs="Tahoma" w:hint="eastAsia"/>
          <w:kern w:val="0"/>
          <w:sz w:val="30"/>
          <w:szCs w:val="30"/>
        </w:rPr>
        <w:t>至报告期末，本行资本净额2</w:t>
      </w:r>
      <w:r w:rsidR="002628BF" w:rsidRPr="00075595">
        <w:rPr>
          <w:rFonts w:ascii="仿宋_GB2312" w:eastAsia="仿宋_GB2312" w:hAnsi="ˎ̥" w:cs="Tahoma" w:hint="eastAsia"/>
          <w:kern w:val="0"/>
          <w:sz w:val="30"/>
          <w:szCs w:val="30"/>
        </w:rPr>
        <w:t>4544.46</w:t>
      </w:r>
      <w:r w:rsidRPr="00075595">
        <w:rPr>
          <w:rFonts w:ascii="仿宋_GB2312" w:eastAsia="仿宋_GB2312" w:hAnsi="ˎ̥" w:cs="Tahoma" w:hint="eastAsia"/>
          <w:kern w:val="0"/>
          <w:sz w:val="30"/>
          <w:szCs w:val="30"/>
        </w:rPr>
        <w:t>万元，与股东及其关联方交易余额4035万元，占资本净额的1</w:t>
      </w:r>
      <w:r w:rsidR="002628BF" w:rsidRPr="00075595">
        <w:rPr>
          <w:rFonts w:ascii="仿宋_GB2312" w:eastAsia="仿宋_GB2312" w:hAnsi="ˎ̥" w:cs="Tahoma" w:hint="eastAsia"/>
          <w:kern w:val="0"/>
          <w:sz w:val="30"/>
          <w:szCs w:val="30"/>
        </w:rPr>
        <w:t>6.44</w:t>
      </w:r>
      <w:r w:rsidRPr="00075595">
        <w:rPr>
          <w:rFonts w:ascii="仿宋_GB2312" w:eastAsia="仿宋_GB2312" w:hAnsi="ˎ̥" w:cs="Tahoma" w:hint="eastAsia"/>
          <w:kern w:val="0"/>
          <w:sz w:val="30"/>
          <w:szCs w:val="30"/>
        </w:rPr>
        <w:t>%</w:t>
      </w:r>
      <w:r w:rsidR="002628BF" w:rsidRPr="00075595">
        <w:rPr>
          <w:rFonts w:ascii="仿宋_GB2312" w:eastAsia="仿宋_GB2312" w:hAnsi="ˎ̥" w:cs="Tahoma" w:hint="eastAsia"/>
          <w:kern w:val="0"/>
          <w:sz w:val="30"/>
          <w:szCs w:val="30"/>
        </w:rPr>
        <w:t>。</w:t>
      </w:r>
    </w:p>
    <w:p w:rsidR="00A024E7" w:rsidRPr="001E429F" w:rsidRDefault="00A024E7" w:rsidP="00A024E7">
      <w:pPr>
        <w:spacing w:line="560" w:lineRule="exact"/>
        <w:ind w:firstLineChars="200" w:firstLine="600"/>
        <w:rPr>
          <w:rFonts w:ascii="仿宋_GB2312" w:eastAsia="仿宋_GB2312" w:hAnsi="仿宋_GB2312" w:cs="仿宋_GB2312"/>
          <w:kern w:val="0"/>
          <w:sz w:val="30"/>
          <w:szCs w:val="30"/>
        </w:rPr>
      </w:pPr>
      <w:r w:rsidRPr="001F763F">
        <w:rPr>
          <w:rFonts w:ascii="仿宋_GB2312" w:eastAsia="仿宋_GB2312" w:hAnsi="仿宋_GB2312" w:cs="仿宋_GB2312" w:hint="eastAsia"/>
          <w:kern w:val="0"/>
          <w:sz w:val="30"/>
          <w:szCs w:val="30"/>
        </w:rPr>
        <w:t>注：资本净额包括核心一级资本、二级资本、其他一级资本扣减资本扣除项目。</w:t>
      </w:r>
    </w:p>
    <w:p w:rsidR="00A024E7" w:rsidRPr="00A024E7" w:rsidRDefault="00A024E7" w:rsidP="002B48F9">
      <w:pPr>
        <w:spacing w:line="560" w:lineRule="exact"/>
        <w:ind w:firstLineChars="200" w:firstLine="600"/>
        <w:rPr>
          <w:rFonts w:ascii="仿宋_GB2312" w:eastAsia="仿宋_GB2312"/>
          <w:sz w:val="30"/>
          <w:szCs w:val="30"/>
        </w:rPr>
      </w:pPr>
    </w:p>
    <w:p w:rsidR="00C5511A" w:rsidRPr="0089101A" w:rsidRDefault="00C5511A" w:rsidP="002B48F9">
      <w:pPr>
        <w:spacing w:line="560" w:lineRule="exact"/>
        <w:jc w:val="center"/>
        <w:rPr>
          <w:rFonts w:ascii="黑体" w:eastAsia="黑体" w:hAnsi="宋体" w:cs="Tahoma"/>
          <w:kern w:val="0"/>
          <w:sz w:val="30"/>
          <w:szCs w:val="30"/>
        </w:rPr>
      </w:pPr>
      <w:r w:rsidRPr="00075595">
        <w:rPr>
          <w:rFonts w:ascii="黑体" w:eastAsia="黑体" w:hAnsi="宋体" w:cs="Tahoma" w:hint="eastAsia"/>
          <w:kern w:val="0"/>
          <w:sz w:val="30"/>
          <w:szCs w:val="30"/>
        </w:rPr>
        <w:t>第四章　风险管理</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一、信用风险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信用风险是指债务人或交易对手未能履行合同所规定的义务或信用质量发生变化，影响金融产品价值，从而给债权人或金融产品持有人造成经济损失的风险。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鉴于本行信用风险主要来源于信贷业务和资金业务，本行通过贷前尽职调查、贷款审批、贷后监控和清收管理程序来控制和管理此类风险：一是注重第一还款来源，严防随意授信、过度授信。二是严防“两链”风险。提高信贷管理人员尽职调查、审批</w:t>
      </w:r>
      <w:r w:rsidRPr="00847A32">
        <w:rPr>
          <w:rFonts w:ascii="仿宋_GB2312" w:eastAsia="仿宋_GB2312" w:hAnsi="ˎ̥" w:cs="Tahoma" w:hint="eastAsia"/>
          <w:kern w:val="0"/>
          <w:sz w:val="30"/>
          <w:szCs w:val="30"/>
        </w:rPr>
        <w:lastRenderedPageBreak/>
        <w:t>能力，加强担保环节的风险管理，严防风险沿担保链条扩散。三是保持担保贷款适度规模。根据</w:t>
      </w:r>
      <w:r w:rsidR="00463A7C">
        <w:rPr>
          <w:rFonts w:ascii="仿宋_GB2312" w:eastAsia="仿宋_GB2312" w:hAnsi="ˎ̥" w:cs="Tahoma" w:hint="eastAsia"/>
          <w:kern w:val="0"/>
          <w:sz w:val="30"/>
          <w:szCs w:val="30"/>
        </w:rPr>
        <w:t>本</w:t>
      </w:r>
      <w:r w:rsidRPr="00847A32">
        <w:rPr>
          <w:rFonts w:ascii="仿宋_GB2312" w:eastAsia="仿宋_GB2312" w:hAnsi="ˎ̥" w:cs="Tahoma" w:hint="eastAsia"/>
          <w:kern w:val="0"/>
          <w:sz w:val="30"/>
          <w:szCs w:val="30"/>
        </w:rPr>
        <w:t>行实际，科学设定担保贷款规模占比。四是继续加大不良贷款清收处置力度和贷后检查（风险排查）力度。五是坚持立足做小做散理念，严控500</w:t>
      </w:r>
      <w:r w:rsidR="003E510C">
        <w:rPr>
          <w:rFonts w:ascii="仿宋_GB2312" w:eastAsia="仿宋_GB2312" w:hAnsi="ˎ̥" w:cs="Tahoma" w:hint="eastAsia"/>
          <w:kern w:val="0"/>
          <w:sz w:val="30"/>
          <w:szCs w:val="30"/>
        </w:rPr>
        <w:t>万元以上</w:t>
      </w:r>
      <w:r w:rsidRPr="00847A32">
        <w:rPr>
          <w:rFonts w:ascii="仿宋_GB2312" w:eastAsia="仿宋_GB2312" w:hAnsi="ˎ̥" w:cs="Tahoma" w:hint="eastAsia"/>
          <w:kern w:val="0"/>
          <w:sz w:val="30"/>
          <w:szCs w:val="30"/>
        </w:rPr>
        <w:t>大额贷款</w:t>
      </w:r>
      <w:r w:rsidR="003E510C">
        <w:rPr>
          <w:rFonts w:ascii="仿宋_GB2312" w:eastAsia="仿宋_GB2312" w:hAnsi="ˎ̥" w:cs="Tahoma" w:hint="eastAsia"/>
          <w:kern w:val="0"/>
          <w:sz w:val="30"/>
          <w:szCs w:val="30"/>
        </w:rPr>
        <w:t>准入</w:t>
      </w:r>
      <w:r w:rsidRPr="00847A32">
        <w:rPr>
          <w:rFonts w:ascii="仿宋_GB2312" w:eastAsia="仿宋_GB2312" w:hAnsi="ˎ̥" w:cs="Tahoma" w:hint="eastAsia"/>
          <w:kern w:val="0"/>
          <w:sz w:val="30"/>
          <w:szCs w:val="30"/>
        </w:rPr>
        <w:t>。</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二、市场风险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市场风险是指市场价格（利率、汇率、股票价格和商品价格）的不利变动而使银行的表内外业务发生损失的风险。</w:t>
      </w:r>
    </w:p>
    <w:p w:rsidR="00C5511A" w:rsidRPr="00847A32" w:rsidRDefault="00A024E7" w:rsidP="002B48F9">
      <w:pPr>
        <w:spacing w:line="560" w:lineRule="exact"/>
        <w:ind w:firstLine="570"/>
        <w:rPr>
          <w:rFonts w:ascii="仿宋_GB2312" w:eastAsia="仿宋_GB2312" w:hAnsi="ˎ̥" w:cs="Tahoma"/>
          <w:kern w:val="0"/>
          <w:sz w:val="30"/>
          <w:szCs w:val="30"/>
        </w:rPr>
      </w:pPr>
      <w:r w:rsidRPr="00A024E7">
        <w:rPr>
          <w:rFonts w:ascii="仿宋_GB2312" w:eastAsia="仿宋_GB2312" w:hAnsi="ˎ̥" w:cs="Tahoma" w:hint="eastAsia"/>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三、流动性风险</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流动性风险是指银行因无力为负债的减少和资产的增加提供融资而造成损失或破产的可能性。</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为控制流动性风险，在资产负债结构、流动性监测等方面，增强了管理力度：一是加强资产负债管理，合理调控信贷规模、票据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w:t>
      </w:r>
      <w:r w:rsidRPr="00847A32">
        <w:rPr>
          <w:rFonts w:ascii="仿宋_GB2312" w:eastAsia="仿宋_GB2312" w:hAnsi="ˎ̥" w:cs="Tahoma" w:hint="eastAsia"/>
          <w:kern w:val="0"/>
          <w:sz w:val="30"/>
          <w:szCs w:val="30"/>
        </w:rPr>
        <w:lastRenderedPageBreak/>
        <w:t>关注负债规模和期限结构的异常变动，定期做好流动性压力测试。在流动性不足，出现支付风险时，根据与主发起行签订的流动性支持协议，及时提出书面融资申请，确保流动性风险得到有效解决。</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四、操作风险</w:t>
      </w:r>
    </w:p>
    <w:p w:rsidR="004E3BA4"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操作风险是指由不完善或有问题的内部程序、人员及系统或外部事件造成的风险。</w:t>
      </w:r>
    </w:p>
    <w:p w:rsidR="004E3BA4" w:rsidRPr="00847A32" w:rsidRDefault="004E3BA4" w:rsidP="002B48F9">
      <w:pPr>
        <w:spacing w:line="560" w:lineRule="exact"/>
        <w:ind w:firstLine="570"/>
        <w:rPr>
          <w:rFonts w:ascii="仿宋_GB2312" w:eastAsia="仿宋_GB2312" w:hAnsi="ˎ̥" w:cs="Tahoma"/>
          <w:kern w:val="0"/>
          <w:sz w:val="30"/>
          <w:szCs w:val="30"/>
        </w:rPr>
      </w:pPr>
      <w:r w:rsidRPr="00896AD9">
        <w:rPr>
          <w:rFonts w:ascii="仿宋_GB2312" w:eastAsia="仿宋_GB2312" w:hAnsi="ˎ̥" w:cs="Tahoma" w:hint="eastAsia"/>
          <w:kern w:val="0"/>
          <w:sz w:val="30"/>
          <w:szCs w:val="30"/>
        </w:rPr>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w:t>
      </w:r>
      <w:r w:rsidR="00853D0B">
        <w:rPr>
          <w:rFonts w:ascii="仿宋_GB2312" w:eastAsia="仿宋_GB2312" w:hAnsi="ˎ̥" w:cs="Tahoma" w:hint="eastAsia"/>
          <w:kern w:val="0"/>
          <w:sz w:val="30"/>
          <w:szCs w:val="30"/>
        </w:rPr>
        <w:t>四是组织员工业务培训，提高员工的业务技能水平；五</w:t>
      </w:r>
      <w:r w:rsidRPr="00896AD9">
        <w:rPr>
          <w:rFonts w:ascii="仿宋_GB2312" w:eastAsia="仿宋_GB2312" w:hAnsi="ˎ̥" w:cs="Tahoma" w:hint="eastAsia"/>
          <w:kern w:val="0"/>
          <w:sz w:val="30"/>
          <w:szCs w:val="30"/>
        </w:rPr>
        <w:t>是通过审计检查、纪检监察、合规审查、举报投拆等一系列方式加强内部监督。</w:t>
      </w:r>
    </w:p>
    <w:p w:rsidR="000055DA" w:rsidRDefault="000055DA" w:rsidP="002B48F9">
      <w:pPr>
        <w:spacing w:line="560" w:lineRule="exact"/>
        <w:ind w:firstLine="570"/>
        <w:jc w:val="center"/>
        <w:rPr>
          <w:rFonts w:ascii="黑体" w:eastAsia="黑体" w:hAnsi="宋体" w:cs="Tahoma" w:hint="eastAsia"/>
          <w:kern w:val="0"/>
          <w:sz w:val="30"/>
          <w:szCs w:val="30"/>
        </w:rPr>
      </w:pPr>
    </w:p>
    <w:p w:rsidR="00C5511A" w:rsidRPr="0089101A" w:rsidRDefault="00C5511A" w:rsidP="002B48F9">
      <w:pPr>
        <w:spacing w:line="560" w:lineRule="exact"/>
        <w:ind w:firstLine="570"/>
        <w:jc w:val="center"/>
        <w:rPr>
          <w:rFonts w:ascii="黑体" w:eastAsia="黑体" w:hAnsi="宋体" w:cs="Tahoma"/>
          <w:kern w:val="0"/>
          <w:sz w:val="30"/>
          <w:szCs w:val="30"/>
        </w:rPr>
      </w:pPr>
      <w:r w:rsidRPr="0089101A">
        <w:rPr>
          <w:rFonts w:ascii="黑体" w:eastAsia="黑体" w:hAnsi="宋体" w:cs="Tahoma" w:hint="eastAsia"/>
          <w:kern w:val="0"/>
          <w:sz w:val="30"/>
          <w:szCs w:val="30"/>
        </w:rPr>
        <w:t>第五章　股本及股东情况</w:t>
      </w:r>
    </w:p>
    <w:p w:rsidR="00C5511A" w:rsidRPr="00847A32"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一、股本结构　　　　　　　　　　　　单位：人民币万元、%</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460"/>
        <w:gridCol w:w="1461"/>
        <w:gridCol w:w="1459"/>
        <w:gridCol w:w="1461"/>
        <w:gridCol w:w="1459"/>
        <w:gridCol w:w="1459"/>
      </w:tblGrid>
      <w:tr w:rsidR="00C5511A" w:rsidRPr="00847A32" w:rsidTr="006B1C08">
        <w:trPr>
          <w:trHeight w:val="65"/>
          <w:tblCellSpacing w:w="0" w:type="dxa"/>
        </w:trPr>
        <w:tc>
          <w:tcPr>
            <w:tcW w:w="2921" w:type="dxa"/>
            <w:gridSpan w:val="2"/>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Ansi="ˎ̥" w:hint="eastAsia"/>
                <w:color w:val="000000"/>
                <w:kern w:val="0"/>
                <w:sz w:val="20"/>
                <w:szCs w:val="20"/>
              </w:rPr>
              <w:t>项　 　　　目</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员工股</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自然人股</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法人股</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color w:val="000000"/>
                <w:kern w:val="0"/>
                <w:sz w:val="20"/>
                <w:szCs w:val="20"/>
              </w:rPr>
            </w:pPr>
            <w:r w:rsidRPr="00847A32">
              <w:rPr>
                <w:rFonts w:ascii="仿宋_GB2312" w:eastAsia="仿宋_GB2312" w:hint="eastAsia"/>
                <w:color w:val="000000"/>
                <w:kern w:val="0"/>
                <w:sz w:val="20"/>
                <w:szCs w:val="20"/>
              </w:rPr>
              <w:t>合　计</w:t>
            </w:r>
          </w:p>
        </w:tc>
      </w:tr>
      <w:tr w:rsidR="00C5511A" w:rsidRPr="00847A32" w:rsidTr="006B1C08">
        <w:trPr>
          <w:trHeight w:val="65"/>
          <w:tblCellSpacing w:w="0" w:type="dxa"/>
        </w:trPr>
        <w:tc>
          <w:tcPr>
            <w:tcW w:w="1460" w:type="dxa"/>
            <w:vMerge w:val="restart"/>
            <w:tcBorders>
              <w:top w:val="outset" w:sz="6" w:space="0" w:color="auto"/>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r w:rsidRPr="00847A32">
              <w:rPr>
                <w:rFonts w:ascii="仿宋_GB2312" w:eastAsia="仿宋_GB2312" w:hAnsi="ˎ̥" w:hint="eastAsia"/>
                <w:color w:val="000000"/>
                <w:kern w:val="0"/>
                <w:sz w:val="20"/>
                <w:szCs w:val="20"/>
              </w:rPr>
              <w:t>期初数</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户数</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16</w:t>
            </w:r>
          </w:p>
        </w:tc>
      </w:tr>
      <w:tr w:rsidR="00C5511A" w:rsidRPr="00847A32" w:rsidTr="006B1C08">
        <w:trPr>
          <w:trHeight w:val="65"/>
          <w:tblCellSpacing w:w="0" w:type="dxa"/>
        </w:trPr>
        <w:tc>
          <w:tcPr>
            <w:tcW w:w="1460" w:type="dxa"/>
            <w:vMerge/>
            <w:tcBorders>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总股本</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1800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28500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30300</w:t>
            </w:r>
          </w:p>
        </w:tc>
      </w:tr>
      <w:tr w:rsidR="00C5511A" w:rsidRPr="00847A32" w:rsidTr="006B1C08">
        <w:trPr>
          <w:trHeight w:val="65"/>
          <w:tblCellSpacing w:w="0" w:type="dxa"/>
        </w:trPr>
        <w:tc>
          <w:tcPr>
            <w:tcW w:w="1460" w:type="dxa"/>
            <w:vMerge/>
            <w:tcBorders>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占比</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5.94%</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94.06%</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100%</w:t>
            </w:r>
          </w:p>
        </w:tc>
      </w:tr>
      <w:tr w:rsidR="00C5511A" w:rsidRPr="00847A32" w:rsidTr="006B1C08">
        <w:trPr>
          <w:trHeight w:val="65"/>
          <w:tblCellSpacing w:w="0" w:type="dxa"/>
        </w:trPr>
        <w:tc>
          <w:tcPr>
            <w:tcW w:w="1460" w:type="dxa"/>
            <w:vMerge w:val="restart"/>
            <w:tcBorders>
              <w:top w:val="outset" w:sz="6" w:space="0" w:color="auto"/>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r w:rsidRPr="00847A32">
              <w:rPr>
                <w:rFonts w:ascii="仿宋_GB2312" w:eastAsia="仿宋_GB2312" w:hAnsi="ˎ̥" w:hint="eastAsia"/>
                <w:color w:val="000000"/>
                <w:kern w:val="0"/>
                <w:sz w:val="20"/>
                <w:szCs w:val="20"/>
              </w:rPr>
              <w:t>期末数</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户数</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7B52ED" w:rsidP="002B48F9">
            <w:pPr>
              <w:spacing w:line="560" w:lineRule="exact"/>
              <w:jc w:val="right"/>
              <w:rPr>
                <w:rFonts w:ascii="仿宋_GB2312" w:eastAsia="仿宋_GB2312"/>
                <w:color w:val="000000"/>
                <w:kern w:val="0"/>
                <w:sz w:val="20"/>
                <w:szCs w:val="20"/>
              </w:rPr>
            </w:pPr>
            <w:r>
              <w:rPr>
                <w:rFonts w:ascii="仿宋_GB2312" w:eastAsia="仿宋_GB2312" w:hint="eastAsia"/>
                <w:color w:val="000000"/>
                <w:kern w:val="0"/>
                <w:sz w:val="20"/>
                <w:szCs w:val="20"/>
              </w:rPr>
              <w:t>15</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13</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16</w:t>
            </w:r>
          </w:p>
        </w:tc>
      </w:tr>
      <w:tr w:rsidR="00C5511A" w:rsidRPr="00847A32" w:rsidTr="006B1C08">
        <w:trPr>
          <w:trHeight w:val="65"/>
          <w:tblCellSpacing w:w="0" w:type="dxa"/>
        </w:trPr>
        <w:tc>
          <w:tcPr>
            <w:tcW w:w="1460" w:type="dxa"/>
            <w:vMerge/>
            <w:tcBorders>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总股本</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1800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28500</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30300</w:t>
            </w:r>
          </w:p>
        </w:tc>
      </w:tr>
      <w:tr w:rsidR="00C5511A" w:rsidRPr="00847A32" w:rsidTr="006B1C08">
        <w:trPr>
          <w:trHeight w:val="65"/>
          <w:tblCellSpacing w:w="0" w:type="dxa"/>
        </w:trPr>
        <w:tc>
          <w:tcPr>
            <w:tcW w:w="1460" w:type="dxa"/>
            <w:vMerge/>
            <w:tcBorders>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hAnsi="ˎ̥"/>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占比</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5.94%</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94.06%</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r w:rsidRPr="00847A32">
              <w:rPr>
                <w:rFonts w:ascii="仿宋_GB2312" w:eastAsia="仿宋_GB2312" w:hint="eastAsia"/>
                <w:color w:val="000000"/>
                <w:kern w:val="0"/>
                <w:sz w:val="20"/>
                <w:szCs w:val="20"/>
              </w:rPr>
              <w:t>100%</w:t>
            </w:r>
          </w:p>
        </w:tc>
      </w:tr>
      <w:tr w:rsidR="00C5511A" w:rsidRPr="00847A32" w:rsidTr="006B1C08">
        <w:trPr>
          <w:trHeight w:val="65"/>
          <w:tblCellSpacing w:w="0" w:type="dxa"/>
        </w:trPr>
        <w:tc>
          <w:tcPr>
            <w:tcW w:w="1460" w:type="dxa"/>
            <w:vMerge w:val="restart"/>
            <w:tcBorders>
              <w:top w:val="outset" w:sz="6" w:space="0" w:color="auto"/>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color w:val="000000"/>
                <w:kern w:val="0"/>
                <w:sz w:val="20"/>
                <w:szCs w:val="20"/>
              </w:rPr>
            </w:pPr>
            <w:r w:rsidRPr="00847A32">
              <w:rPr>
                <w:rFonts w:ascii="仿宋_GB2312" w:eastAsia="仿宋_GB2312" w:hint="eastAsia"/>
                <w:color w:val="000000"/>
                <w:kern w:val="0"/>
                <w:sz w:val="20"/>
                <w:szCs w:val="20"/>
              </w:rPr>
              <w:t>变动情况</w:t>
            </w: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户数</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ind w:right="100"/>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r>
      <w:tr w:rsidR="00C5511A" w:rsidRPr="00847A32" w:rsidTr="006B1C08">
        <w:trPr>
          <w:trHeight w:val="65"/>
          <w:tblCellSpacing w:w="0" w:type="dxa"/>
        </w:trPr>
        <w:tc>
          <w:tcPr>
            <w:tcW w:w="1460" w:type="dxa"/>
            <w:vMerge/>
            <w:tcBorders>
              <w:left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color w:val="000000"/>
                <w:kern w:val="0"/>
                <w:sz w:val="20"/>
                <w:szCs w:val="20"/>
              </w:rPr>
            </w:pPr>
            <w:r w:rsidRPr="00847A32">
              <w:rPr>
                <w:rFonts w:ascii="仿宋_GB2312" w:eastAsia="仿宋_GB2312" w:hint="eastAsia"/>
                <w:color w:val="000000"/>
                <w:kern w:val="0"/>
                <w:sz w:val="20"/>
                <w:szCs w:val="20"/>
              </w:rPr>
              <w:t xml:space="preserve"> 总股本</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color w:val="000000"/>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color w:val="000000"/>
                <w:kern w:val="0"/>
                <w:sz w:val="20"/>
                <w:szCs w:val="20"/>
              </w:rPr>
            </w:pPr>
          </w:p>
        </w:tc>
      </w:tr>
      <w:tr w:rsidR="00C5511A" w:rsidRPr="00847A32" w:rsidTr="006B1C08">
        <w:trPr>
          <w:trHeight w:val="65"/>
          <w:tblCellSpacing w:w="0" w:type="dxa"/>
        </w:trPr>
        <w:tc>
          <w:tcPr>
            <w:tcW w:w="1460" w:type="dxa"/>
            <w:vMerge/>
            <w:tcBorders>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ind w:firstLineChars="50" w:firstLine="100"/>
              <w:rPr>
                <w:rFonts w:ascii="仿宋_GB2312" w:eastAsia="仿宋_GB2312"/>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rPr>
                <w:rFonts w:ascii="仿宋_GB2312" w:eastAsia="仿宋_GB2312"/>
                <w:kern w:val="0"/>
                <w:sz w:val="20"/>
                <w:szCs w:val="20"/>
              </w:rPr>
            </w:pPr>
            <w:r w:rsidRPr="00847A32">
              <w:rPr>
                <w:rFonts w:ascii="仿宋_GB2312" w:eastAsia="仿宋_GB2312" w:hint="eastAsia"/>
                <w:kern w:val="0"/>
                <w:sz w:val="20"/>
                <w:szCs w:val="20"/>
              </w:rPr>
              <w:t xml:space="preserve"> 占比</w:t>
            </w: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right"/>
              <w:rPr>
                <w:rFonts w:ascii="仿宋_GB2312" w:eastAsia="仿宋_GB2312"/>
                <w:kern w:val="0"/>
                <w:sz w:val="20"/>
                <w:szCs w:val="20"/>
              </w:rPr>
            </w:pPr>
          </w:p>
        </w:tc>
        <w:tc>
          <w:tcPr>
            <w:tcW w:w="1461"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kern w:val="0"/>
                <w:sz w:val="20"/>
                <w:szCs w:val="20"/>
              </w:rPr>
            </w:pPr>
          </w:p>
        </w:tc>
        <w:tc>
          <w:tcPr>
            <w:tcW w:w="1459"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right"/>
              <w:rPr>
                <w:rFonts w:ascii="仿宋_GB2312" w:eastAsia="仿宋_GB2312"/>
                <w:kern w:val="0"/>
                <w:sz w:val="20"/>
                <w:szCs w:val="20"/>
              </w:rPr>
            </w:pPr>
          </w:p>
        </w:tc>
      </w:tr>
    </w:tbl>
    <w:p w:rsidR="00C5511A" w:rsidRPr="00847A32" w:rsidRDefault="00C5511A" w:rsidP="002B48F9">
      <w:pPr>
        <w:spacing w:line="560" w:lineRule="exact"/>
        <w:ind w:firstLineChars="200" w:firstLine="560"/>
        <w:rPr>
          <w:rFonts w:ascii="仿宋_GB2312" w:eastAsia="仿宋_GB2312" w:hAnsi="ˎ̥" w:cs="Tahoma"/>
          <w:kern w:val="0"/>
          <w:sz w:val="28"/>
          <w:szCs w:val="28"/>
        </w:rPr>
      </w:pPr>
      <w:r w:rsidRPr="00847A32">
        <w:rPr>
          <w:rFonts w:ascii="仿宋_GB2312" w:eastAsia="仿宋_GB2312" w:hAnsi="ˎ̥" w:cs="Tahoma" w:hint="eastAsia"/>
          <w:kern w:val="0"/>
          <w:sz w:val="28"/>
          <w:szCs w:val="28"/>
        </w:rPr>
        <w:t>二、股东及持股情况　　　　　　　单位：人民币万元、%</w:t>
      </w:r>
    </w:p>
    <w:tbl>
      <w:tblPr>
        <w:tblW w:w="9078" w:type="dxa"/>
        <w:tblCellSpacing w:w="0"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366"/>
        <w:gridCol w:w="1428"/>
        <w:gridCol w:w="1430"/>
        <w:gridCol w:w="1428"/>
        <w:gridCol w:w="1426"/>
      </w:tblGrid>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股东名称或姓名</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法人代表</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期末数</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期初数</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kern w:val="0"/>
                <w:sz w:val="20"/>
                <w:szCs w:val="20"/>
              </w:rPr>
            </w:pPr>
            <w:r w:rsidRPr="00847A32">
              <w:rPr>
                <w:rFonts w:ascii="仿宋_GB2312" w:eastAsia="仿宋_GB2312" w:hAnsi="ˎ̥" w:hint="eastAsia"/>
                <w:kern w:val="0"/>
                <w:sz w:val="20"/>
                <w:szCs w:val="20"/>
              </w:rPr>
              <w:t>占总股本比例</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浙江德清农村商业银行股份有限公司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B47E7F" w:rsidP="002B48F9">
            <w:pPr>
              <w:widowControl/>
              <w:spacing w:line="560" w:lineRule="exact"/>
              <w:jc w:val="center"/>
              <w:rPr>
                <w:rFonts w:ascii="仿宋_GB2312" w:eastAsia="仿宋_GB2312" w:hAnsi="ˎ̥"/>
                <w:kern w:val="0"/>
                <w:sz w:val="20"/>
                <w:szCs w:val="20"/>
              </w:rPr>
            </w:pPr>
            <w:r>
              <w:rPr>
                <w:rFonts w:ascii="仿宋_GB2312" w:eastAsia="仿宋_GB2312" w:hAnsi="ˎ̥" w:hint="eastAsia"/>
                <w:kern w:val="0"/>
                <w:sz w:val="20"/>
                <w:szCs w:val="20"/>
              </w:rPr>
              <w:t>陈春仿</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11700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11700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38.613%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华盛达控股集团有限公司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袁建华</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570126"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天津滨海海通物流有限公司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570126" w:rsidRDefault="00570126" w:rsidP="002B48F9">
            <w:pPr>
              <w:widowControl/>
              <w:spacing w:line="560" w:lineRule="exact"/>
              <w:jc w:val="center"/>
              <w:rPr>
                <w:rFonts w:ascii="仿宋_GB2312" w:eastAsia="仿宋_GB2312" w:hAnsi="ˎ̥"/>
                <w:kern w:val="0"/>
                <w:sz w:val="20"/>
                <w:szCs w:val="20"/>
              </w:rPr>
            </w:pPr>
            <w:r>
              <w:rPr>
                <w:rFonts w:ascii="仿宋_GB2312" w:eastAsia="仿宋_GB2312" w:hAnsi="ˎ̥" w:hint="eastAsia"/>
                <w:kern w:val="0"/>
                <w:sz w:val="20"/>
                <w:szCs w:val="20"/>
              </w:rPr>
              <w:t>杨连强</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570126" w:rsidRDefault="00C5511A" w:rsidP="002B48F9">
            <w:pPr>
              <w:widowControl/>
              <w:spacing w:line="560" w:lineRule="exact"/>
              <w:jc w:val="center"/>
              <w:rPr>
                <w:rFonts w:ascii="仿宋_GB2312" w:eastAsia="仿宋_GB2312" w:hAnsi="ˎ̥"/>
                <w:kern w:val="0"/>
                <w:sz w:val="20"/>
                <w:szCs w:val="20"/>
              </w:rPr>
            </w:pPr>
            <w:r w:rsidRPr="00570126">
              <w:rPr>
                <w:rFonts w:ascii="仿宋_GB2312" w:eastAsia="仿宋_GB2312" w:hAnsi="ˎ̥" w:hint="eastAsia"/>
                <w:kern w:val="0"/>
                <w:sz w:val="20"/>
                <w:szCs w:val="20"/>
              </w:rPr>
              <w:t>4.753%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天津滨海新区宏泰实业集团有限公司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李刚</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天津滨海兄弟国际贸易有限公司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肖枫</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天津市顺天仓储有限公司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张东磊</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天津市泓锐发建筑安装工程有限公司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肖建英</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天津春晖鑫隆商贸有限公司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张素芹</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4.753%</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spacing w:line="560" w:lineRule="exact"/>
              <w:jc w:val="center"/>
              <w:rPr>
                <w:rFonts w:ascii="仿宋_GB2312" w:eastAsia="仿宋_GB2312" w:hAnsi="仿宋_GB2312" w:cs="宋体"/>
                <w:kern w:val="0"/>
                <w:szCs w:val="21"/>
              </w:rPr>
            </w:pPr>
            <w:r w:rsidRPr="00847A32">
              <w:rPr>
                <w:rFonts w:ascii="仿宋_GB2312" w:eastAsia="仿宋_GB2312" w:hAnsi="ˎ̥" w:hint="eastAsia"/>
                <w:kern w:val="0"/>
                <w:sz w:val="20"/>
                <w:szCs w:val="20"/>
              </w:rPr>
              <w:t>天津晟日通实业股份有限公司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王军</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4.752%</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天津大成实业有限公司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袁涛</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4.752%</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天津市信中工贸有限公司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袁汝海</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1440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4.752%</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天津雅丽尚品家俱有限公司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陈玲玲</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1320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1320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4.356%</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天津鹏程基础工程有限公司</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季宗明</w:t>
            </w: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1080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1080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3.564%</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郎文华</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30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30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0.0990%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lastRenderedPageBreak/>
              <w:t>沈中央</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0.3300%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王新</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120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120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0.3960%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陈谷</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0.3300%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姚月华</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0.3300%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杜林斌</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80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80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0.2640%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赵建</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40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40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0.1320%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刘学栋</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40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40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0.1320%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郭瑞东</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20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20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0.0660%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徐鸿斌</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190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190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0.6271%</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车引洪</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240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240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0.7921%</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钟晓明</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0.3300%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姬阿兴</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100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0.3300%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沈建忠</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150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150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0.4950%</w:t>
            </w:r>
          </w:p>
        </w:tc>
      </w:tr>
      <w:tr w:rsidR="00655051"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姚惠忠</w:t>
            </w:r>
          </w:p>
        </w:tc>
        <w:tc>
          <w:tcPr>
            <w:tcW w:w="1428" w:type="dxa"/>
            <w:tcBorders>
              <w:top w:val="outset" w:sz="6" w:space="0" w:color="auto"/>
              <w:left w:val="outset" w:sz="6" w:space="0" w:color="auto"/>
              <w:bottom w:val="outset" w:sz="6" w:space="0" w:color="auto"/>
              <w:right w:val="outset" w:sz="6" w:space="0" w:color="auto"/>
            </w:tcBorders>
            <w:vAlign w:val="center"/>
          </w:tcPr>
          <w:p w:rsidR="00655051" w:rsidRPr="00847A32" w:rsidRDefault="00655051"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390 </w:t>
            </w:r>
          </w:p>
        </w:tc>
        <w:tc>
          <w:tcPr>
            <w:tcW w:w="1428" w:type="dxa"/>
            <w:tcBorders>
              <w:top w:val="outset" w:sz="6" w:space="0" w:color="auto"/>
              <w:left w:val="outset" w:sz="6" w:space="0" w:color="auto"/>
              <w:bottom w:val="outset" w:sz="6" w:space="0" w:color="auto"/>
              <w:right w:val="outset" w:sz="6" w:space="0" w:color="auto"/>
            </w:tcBorders>
            <w:vAlign w:val="bottom"/>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 xml:space="preserve">390 </w:t>
            </w:r>
          </w:p>
        </w:tc>
        <w:tc>
          <w:tcPr>
            <w:tcW w:w="1426" w:type="dxa"/>
            <w:tcBorders>
              <w:top w:val="outset" w:sz="6" w:space="0" w:color="auto"/>
              <w:left w:val="outset" w:sz="6" w:space="0" w:color="auto"/>
              <w:bottom w:val="outset" w:sz="6" w:space="0" w:color="auto"/>
              <w:right w:val="outset" w:sz="6" w:space="0" w:color="auto"/>
            </w:tcBorders>
            <w:vAlign w:val="center"/>
          </w:tcPr>
          <w:p w:rsidR="00655051" w:rsidRPr="00655051" w:rsidRDefault="00655051" w:rsidP="00655051">
            <w:pPr>
              <w:widowControl/>
              <w:spacing w:line="560" w:lineRule="exact"/>
              <w:jc w:val="center"/>
              <w:rPr>
                <w:rFonts w:ascii="仿宋_GB2312" w:eastAsia="仿宋_GB2312" w:hAnsi="ˎ̥"/>
                <w:kern w:val="0"/>
                <w:sz w:val="20"/>
                <w:szCs w:val="20"/>
              </w:rPr>
            </w:pPr>
            <w:r w:rsidRPr="00655051">
              <w:rPr>
                <w:rFonts w:ascii="仿宋_GB2312" w:eastAsia="仿宋_GB2312" w:hAnsi="ˎ̥" w:hint="eastAsia"/>
                <w:kern w:val="0"/>
                <w:sz w:val="20"/>
                <w:szCs w:val="20"/>
              </w:rPr>
              <w:t>1.2871%</w:t>
            </w:r>
          </w:p>
        </w:tc>
      </w:tr>
      <w:tr w:rsidR="00C5511A" w:rsidRPr="00847A32" w:rsidTr="00EA0265">
        <w:trPr>
          <w:trHeight w:val="284"/>
          <w:tblCellSpacing w:w="0" w:type="dxa"/>
        </w:trPr>
        <w:tc>
          <w:tcPr>
            <w:tcW w:w="336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合　　计</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p>
        </w:tc>
        <w:tc>
          <w:tcPr>
            <w:tcW w:w="1430"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30300</w:t>
            </w:r>
          </w:p>
        </w:tc>
        <w:tc>
          <w:tcPr>
            <w:tcW w:w="1428"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30300</w:t>
            </w:r>
          </w:p>
        </w:tc>
        <w:tc>
          <w:tcPr>
            <w:tcW w:w="1426" w:type="dxa"/>
            <w:tcBorders>
              <w:top w:val="outset" w:sz="6" w:space="0" w:color="auto"/>
              <w:left w:val="outset" w:sz="6" w:space="0" w:color="auto"/>
              <w:bottom w:val="outset" w:sz="6" w:space="0" w:color="auto"/>
              <w:right w:val="outset" w:sz="6" w:space="0" w:color="auto"/>
            </w:tcBorders>
            <w:vAlign w:val="center"/>
          </w:tcPr>
          <w:p w:rsidR="00C5511A" w:rsidRPr="00847A32" w:rsidRDefault="00C5511A" w:rsidP="002B48F9">
            <w:pPr>
              <w:widowControl/>
              <w:spacing w:line="560" w:lineRule="exact"/>
              <w:jc w:val="center"/>
              <w:rPr>
                <w:rFonts w:ascii="仿宋_GB2312" w:eastAsia="仿宋_GB2312" w:hAnsi="ˎ̥"/>
                <w:kern w:val="0"/>
                <w:sz w:val="20"/>
                <w:szCs w:val="20"/>
              </w:rPr>
            </w:pPr>
            <w:r w:rsidRPr="00847A32">
              <w:rPr>
                <w:rFonts w:ascii="仿宋_GB2312" w:eastAsia="仿宋_GB2312" w:hAnsi="ˎ̥" w:hint="eastAsia"/>
                <w:kern w:val="0"/>
                <w:sz w:val="20"/>
                <w:szCs w:val="20"/>
              </w:rPr>
              <w:t>100%</w:t>
            </w:r>
          </w:p>
        </w:tc>
      </w:tr>
    </w:tbl>
    <w:p w:rsidR="00C5511A" w:rsidRDefault="00C5511A" w:rsidP="002B48F9">
      <w:pPr>
        <w:spacing w:line="560" w:lineRule="exact"/>
        <w:ind w:firstLineChars="200" w:firstLine="600"/>
        <w:rPr>
          <w:rFonts w:ascii="仿宋_GB2312" w:eastAsia="仿宋_GB2312" w:hAnsi="ˎ̥" w:cs="Tahoma"/>
          <w:kern w:val="0"/>
          <w:sz w:val="30"/>
          <w:szCs w:val="30"/>
        </w:rPr>
      </w:pPr>
      <w:r w:rsidRPr="00847A32">
        <w:rPr>
          <w:rFonts w:ascii="仿宋_GB2312" w:eastAsia="仿宋_GB2312" w:hAnsi="ˎ̥" w:cs="Tahoma" w:hint="eastAsia"/>
          <w:kern w:val="0"/>
          <w:sz w:val="30"/>
          <w:szCs w:val="30"/>
        </w:rPr>
        <w:t>本行最大单个法人持股11700</w:t>
      </w:r>
      <w:r w:rsidRPr="00847A32">
        <w:rPr>
          <w:rFonts w:ascii="仿宋_GB2312" w:eastAsia="仿宋_GB2312" w:hAnsi="ˎ̥" w:cs="Tahoma" w:hint="eastAsia"/>
          <w:color w:val="000000"/>
          <w:kern w:val="0"/>
          <w:sz w:val="30"/>
          <w:szCs w:val="30"/>
        </w:rPr>
        <w:t>万股，占总股本比例</w:t>
      </w:r>
      <w:r w:rsidRPr="00847A32">
        <w:rPr>
          <w:rFonts w:ascii="仿宋_GB2312" w:eastAsia="仿宋_GB2312" w:hAnsi="ˎ̥" w:cs="Tahoma" w:hint="eastAsia"/>
          <w:kern w:val="0"/>
          <w:sz w:val="30"/>
          <w:szCs w:val="30"/>
        </w:rPr>
        <w:t>38.613%</w:t>
      </w:r>
      <w:r w:rsidRPr="00847A32">
        <w:rPr>
          <w:rFonts w:ascii="仿宋_GB2312" w:eastAsia="仿宋_GB2312" w:hAnsi="ˎ̥" w:cs="Tahoma" w:hint="eastAsia"/>
          <w:color w:val="000000"/>
          <w:kern w:val="0"/>
          <w:sz w:val="30"/>
          <w:szCs w:val="30"/>
        </w:rPr>
        <w:t>，单个法人、自然人股东持股比例符合《村镇银行管理暂行规定</w:t>
      </w:r>
      <w:r w:rsidRPr="00847A32">
        <w:rPr>
          <w:rFonts w:ascii="仿宋_GB2312" w:eastAsia="仿宋_GB2312" w:hAnsi="ˎ̥" w:cs="Tahoma" w:hint="eastAsia"/>
          <w:kern w:val="0"/>
          <w:sz w:val="30"/>
          <w:szCs w:val="30"/>
        </w:rPr>
        <w:t>》和本行《章程》。</w:t>
      </w:r>
    </w:p>
    <w:p w:rsidR="0045011A" w:rsidRPr="00003425" w:rsidRDefault="0045011A" w:rsidP="0045011A">
      <w:pPr>
        <w:spacing w:line="560" w:lineRule="exact"/>
        <w:ind w:firstLineChars="200" w:firstLine="600"/>
        <w:rPr>
          <w:rFonts w:ascii="仿宋_GB2312" w:eastAsia="仿宋_GB2312" w:hAnsi="ˎ̥" w:cs="Tahoma"/>
          <w:kern w:val="0"/>
          <w:sz w:val="30"/>
          <w:szCs w:val="30"/>
        </w:rPr>
      </w:pPr>
      <w:r w:rsidRPr="00003425">
        <w:rPr>
          <w:rFonts w:ascii="仿宋_GB2312" w:eastAsia="仿宋_GB2312" w:hAnsi="ˎ̥" w:cs="Tahoma" w:hint="eastAsia"/>
          <w:kern w:val="0"/>
          <w:sz w:val="30"/>
          <w:szCs w:val="30"/>
        </w:rPr>
        <w:t>三、本行股份的质押、冻结情况</w:t>
      </w:r>
    </w:p>
    <w:p w:rsidR="00636FB5" w:rsidRDefault="00636FB5" w:rsidP="00636FB5">
      <w:pPr>
        <w:spacing w:line="560" w:lineRule="exact"/>
        <w:ind w:firstLineChars="200" w:firstLine="600"/>
        <w:rPr>
          <w:rFonts w:ascii="仿宋_GB2312" w:eastAsia="仿宋_GB2312" w:hAnsi="ˎ̥" w:cs="Tahoma"/>
          <w:kern w:val="0"/>
          <w:sz w:val="30"/>
          <w:szCs w:val="30"/>
        </w:rPr>
      </w:pPr>
      <w:r w:rsidRPr="00636FB5">
        <w:rPr>
          <w:rFonts w:ascii="仿宋_GB2312" w:eastAsia="仿宋_GB2312" w:hAnsi="ˎ̥" w:cs="Tahoma" w:hint="eastAsia"/>
          <w:kern w:val="0"/>
          <w:sz w:val="30"/>
          <w:szCs w:val="30"/>
        </w:rPr>
        <w:t>天津滨海新区宏泰实业集团有限公司</w:t>
      </w:r>
      <w:r>
        <w:rPr>
          <w:rFonts w:ascii="仿宋_GB2312" w:eastAsia="仿宋_GB2312" w:hAnsi="ˎ̥" w:cs="Tahoma" w:hint="eastAsia"/>
          <w:kern w:val="0"/>
          <w:sz w:val="30"/>
          <w:szCs w:val="30"/>
        </w:rPr>
        <w:t>的1440万股于2019年10月进行质押。</w:t>
      </w:r>
    </w:p>
    <w:p w:rsidR="0045011A" w:rsidRPr="00003425" w:rsidRDefault="00426575" w:rsidP="00426575">
      <w:pPr>
        <w:spacing w:line="560" w:lineRule="exact"/>
        <w:ind w:firstLineChars="200" w:firstLine="600"/>
        <w:rPr>
          <w:rFonts w:ascii="仿宋_GB2312" w:eastAsia="仿宋_GB2312" w:hAnsi="ˎ̥" w:cs="Tahoma"/>
          <w:kern w:val="0"/>
          <w:sz w:val="30"/>
          <w:szCs w:val="30"/>
        </w:rPr>
      </w:pPr>
      <w:r w:rsidRPr="00426575">
        <w:rPr>
          <w:rFonts w:ascii="仿宋_GB2312" w:eastAsia="仿宋_GB2312" w:hAnsi="ˎ̥" w:cs="Tahoma" w:hint="eastAsia"/>
          <w:kern w:val="0"/>
          <w:sz w:val="30"/>
          <w:szCs w:val="30"/>
        </w:rPr>
        <w:lastRenderedPageBreak/>
        <w:t>天津滨海海通物流有限公司</w:t>
      </w:r>
      <w:r>
        <w:rPr>
          <w:rFonts w:ascii="仿宋_GB2312" w:eastAsia="仿宋_GB2312" w:hAnsi="ˎ̥" w:cs="Tahoma" w:hint="eastAsia"/>
          <w:kern w:val="0"/>
          <w:sz w:val="30"/>
          <w:szCs w:val="30"/>
        </w:rPr>
        <w:t>的1440万股于</w:t>
      </w:r>
      <w:r>
        <w:rPr>
          <w:rFonts w:ascii="仿宋_GB2312" w:eastAsia="仿宋_GB2312" w:hAnsi="ˎ̥" w:cs="Tahoma"/>
          <w:kern w:val="0"/>
          <w:sz w:val="30"/>
          <w:szCs w:val="30"/>
        </w:rPr>
        <w:t>2018</w:t>
      </w:r>
      <w:r>
        <w:rPr>
          <w:rFonts w:ascii="仿宋_GB2312" w:eastAsia="仿宋_GB2312" w:hAnsi="ˎ̥" w:cs="Tahoma" w:hint="eastAsia"/>
          <w:kern w:val="0"/>
          <w:sz w:val="30"/>
          <w:szCs w:val="30"/>
        </w:rPr>
        <w:t>年9月由</w:t>
      </w:r>
      <w:r w:rsidRPr="00426575">
        <w:rPr>
          <w:rFonts w:ascii="仿宋_GB2312" w:eastAsia="仿宋_GB2312" w:hAnsi="ˎ̥" w:cs="Tahoma" w:hint="eastAsia"/>
          <w:kern w:val="0"/>
          <w:sz w:val="30"/>
          <w:szCs w:val="30"/>
        </w:rPr>
        <w:t>天津市滨海新区人民法院</w:t>
      </w:r>
      <w:r>
        <w:rPr>
          <w:rFonts w:ascii="仿宋_GB2312" w:eastAsia="仿宋_GB2312" w:hAnsi="ˎ̥" w:cs="Tahoma" w:hint="eastAsia"/>
          <w:kern w:val="0"/>
          <w:sz w:val="30"/>
          <w:szCs w:val="30"/>
        </w:rPr>
        <w:t>冻结，冻结期限三年。</w:t>
      </w:r>
    </w:p>
    <w:p w:rsidR="0095346B" w:rsidRDefault="0095346B" w:rsidP="0045011A">
      <w:pPr>
        <w:spacing w:line="560" w:lineRule="exact"/>
        <w:jc w:val="center"/>
        <w:rPr>
          <w:rFonts w:ascii="仿宋_GB2312" w:eastAsia="仿宋_GB2312" w:hAnsi="仿宋_GB2312" w:cs="仿宋_GB2312" w:hint="eastAsia"/>
          <w:b/>
          <w:color w:val="000000"/>
          <w:kern w:val="0"/>
          <w:sz w:val="30"/>
          <w:szCs w:val="30"/>
        </w:rPr>
      </w:pPr>
    </w:p>
    <w:p w:rsidR="0045011A" w:rsidRPr="00F616DA" w:rsidRDefault="0045011A" w:rsidP="0045011A">
      <w:pPr>
        <w:spacing w:line="560" w:lineRule="exact"/>
        <w:jc w:val="center"/>
        <w:rPr>
          <w:rFonts w:ascii="黑体" w:eastAsia="黑体" w:hAnsi="黑体" w:cs="仿宋_GB2312"/>
          <w:color w:val="000000"/>
          <w:kern w:val="0"/>
          <w:sz w:val="30"/>
          <w:szCs w:val="30"/>
        </w:rPr>
      </w:pPr>
      <w:r w:rsidRPr="00F616DA">
        <w:rPr>
          <w:rFonts w:ascii="黑体" w:eastAsia="黑体" w:hAnsi="黑体" w:cs="仿宋_GB2312" w:hint="eastAsia"/>
          <w:color w:val="000000"/>
          <w:kern w:val="0"/>
          <w:sz w:val="30"/>
          <w:szCs w:val="30"/>
        </w:rPr>
        <w:t>第六章　公司治理</w:t>
      </w:r>
    </w:p>
    <w:p w:rsidR="0045011A" w:rsidRPr="00710604" w:rsidRDefault="00710604" w:rsidP="00710604">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报告期内，本行严格按照《公司法》、《村镇银行监管指引》以及本行章程的规定，进一步完善法人治理结构，按照人民银行、银保监部门以及行业管理部门的有关要求开展业务经营，充分发挥各个利益相关者特别是董、监事的作用，确保合规稳健经营和快速发展，有效保障了相关权益人的利益，为社会创造价值。</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一、股东大会情况</w:t>
      </w:r>
    </w:p>
    <w:p w:rsidR="0045011A" w:rsidRDefault="0045011A" w:rsidP="0045011A">
      <w:pPr>
        <w:spacing w:line="560" w:lineRule="exact"/>
        <w:ind w:firstLine="57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报告期间，本行于2019年</w:t>
      </w:r>
      <w:r w:rsidR="00453D00">
        <w:rPr>
          <w:rFonts w:ascii="仿宋_GB2312" w:eastAsia="仿宋_GB2312" w:hAnsi="仿宋_GB2312" w:cs="仿宋_GB2312" w:hint="eastAsia"/>
          <w:color w:val="000000"/>
          <w:kern w:val="0"/>
          <w:sz w:val="30"/>
          <w:szCs w:val="30"/>
        </w:rPr>
        <w:t>5</w:t>
      </w:r>
      <w:r>
        <w:rPr>
          <w:rFonts w:ascii="仿宋_GB2312" w:eastAsia="仿宋_GB2312" w:hAnsi="仿宋_GB2312" w:cs="仿宋_GB2312" w:hint="eastAsia"/>
          <w:color w:val="000000"/>
          <w:kern w:val="0"/>
          <w:sz w:val="30"/>
          <w:szCs w:val="30"/>
        </w:rPr>
        <w:t>月</w:t>
      </w:r>
      <w:r w:rsidR="00453D00">
        <w:rPr>
          <w:rFonts w:ascii="仿宋_GB2312" w:eastAsia="仿宋_GB2312" w:hAnsi="仿宋_GB2312" w:cs="仿宋_GB2312" w:hint="eastAsia"/>
          <w:color w:val="000000"/>
          <w:kern w:val="0"/>
          <w:sz w:val="30"/>
          <w:szCs w:val="30"/>
        </w:rPr>
        <w:t>10</w:t>
      </w:r>
      <w:r>
        <w:rPr>
          <w:rFonts w:ascii="仿宋_GB2312" w:eastAsia="仿宋_GB2312" w:hAnsi="仿宋_GB2312" w:cs="仿宋_GB2312" w:hint="eastAsia"/>
          <w:color w:val="000000"/>
          <w:kern w:val="0"/>
          <w:sz w:val="30"/>
          <w:szCs w:val="30"/>
        </w:rPr>
        <w:t>日召开了2018年度股东大会，会议应到股东</w:t>
      </w:r>
      <w:r w:rsidR="00453D00">
        <w:rPr>
          <w:rFonts w:ascii="仿宋_GB2312" w:eastAsia="仿宋_GB2312" w:hAnsi="仿宋_GB2312" w:cs="仿宋_GB2312" w:hint="eastAsia"/>
          <w:color w:val="000000"/>
          <w:kern w:val="0"/>
          <w:sz w:val="30"/>
          <w:szCs w:val="30"/>
        </w:rPr>
        <w:t>16</w:t>
      </w:r>
      <w:r>
        <w:rPr>
          <w:rFonts w:ascii="仿宋_GB2312" w:eastAsia="仿宋_GB2312" w:hAnsi="仿宋_GB2312" w:cs="仿宋_GB2312" w:hint="eastAsia"/>
          <w:color w:val="000000"/>
          <w:kern w:val="0"/>
          <w:sz w:val="30"/>
          <w:szCs w:val="30"/>
        </w:rPr>
        <w:t>名，全部表决权</w:t>
      </w:r>
      <w:r w:rsidR="00453D00">
        <w:rPr>
          <w:rFonts w:ascii="仿宋_GB2312" w:eastAsia="仿宋_GB2312" w:hAnsi="仿宋_GB2312" w:cs="仿宋_GB2312" w:hint="eastAsia"/>
          <w:color w:val="000000"/>
          <w:kern w:val="0"/>
          <w:sz w:val="30"/>
          <w:szCs w:val="30"/>
        </w:rPr>
        <w:t>30300</w:t>
      </w:r>
      <w:r>
        <w:rPr>
          <w:rFonts w:ascii="仿宋_GB2312" w:eastAsia="仿宋_GB2312" w:hAnsi="仿宋_GB2312" w:cs="仿宋_GB2312" w:hint="eastAsia"/>
          <w:color w:val="000000"/>
          <w:kern w:val="0"/>
          <w:sz w:val="30"/>
          <w:szCs w:val="30"/>
        </w:rPr>
        <w:t>万票，会议实到股东及股东代理人</w:t>
      </w:r>
      <w:r w:rsidR="00E661F3">
        <w:rPr>
          <w:rFonts w:ascii="仿宋_GB2312" w:eastAsia="仿宋_GB2312" w:hAnsi="仿宋_GB2312" w:cs="仿宋_GB2312" w:hint="eastAsia"/>
          <w:color w:val="000000"/>
          <w:kern w:val="0"/>
          <w:sz w:val="30"/>
          <w:szCs w:val="30"/>
        </w:rPr>
        <w:t>11</w:t>
      </w:r>
      <w:r>
        <w:rPr>
          <w:rFonts w:ascii="仿宋_GB2312" w:eastAsia="仿宋_GB2312" w:hAnsi="仿宋_GB2312" w:cs="仿宋_GB2312" w:hint="eastAsia"/>
          <w:color w:val="000000"/>
          <w:kern w:val="0"/>
          <w:sz w:val="30"/>
          <w:szCs w:val="30"/>
        </w:rPr>
        <w:t>名，所持表决权</w:t>
      </w:r>
      <w:r w:rsidR="0019058A">
        <w:rPr>
          <w:rFonts w:ascii="仿宋_GB2312" w:eastAsia="仿宋_GB2312" w:hAnsi="仿宋_GB2312" w:cs="仿宋_GB2312" w:hint="eastAsia"/>
          <w:color w:val="000000"/>
          <w:kern w:val="0"/>
          <w:sz w:val="30"/>
          <w:szCs w:val="30"/>
        </w:rPr>
        <w:t>28860</w:t>
      </w:r>
      <w:r>
        <w:rPr>
          <w:rFonts w:ascii="仿宋_GB2312" w:eastAsia="仿宋_GB2312" w:hAnsi="仿宋_GB2312" w:cs="仿宋_GB2312" w:hint="eastAsia"/>
          <w:color w:val="000000"/>
          <w:kern w:val="0"/>
          <w:sz w:val="30"/>
          <w:szCs w:val="30"/>
        </w:rPr>
        <w:t>万票，占全部表决权的</w:t>
      </w:r>
      <w:r w:rsidR="0019058A">
        <w:rPr>
          <w:rFonts w:ascii="仿宋_GB2312" w:eastAsia="仿宋_GB2312" w:hAnsi="仿宋_GB2312" w:cs="仿宋_GB2312" w:hint="eastAsia"/>
          <w:color w:val="000000"/>
          <w:kern w:val="0"/>
          <w:sz w:val="30"/>
          <w:szCs w:val="30"/>
        </w:rPr>
        <w:t>95.25</w:t>
      </w:r>
      <w:r>
        <w:rPr>
          <w:rFonts w:ascii="仿宋_GB2312" w:eastAsia="仿宋_GB2312" w:hAnsi="仿宋_GB2312" w:cs="仿宋_GB2312" w:hint="eastAsia"/>
          <w:color w:val="000000"/>
          <w:kern w:val="0"/>
          <w:sz w:val="30"/>
          <w:szCs w:val="30"/>
        </w:rPr>
        <w:t>%，符合公司法和公司章程的规定，会议由董事会召集。经投票表决通过了《</w:t>
      </w:r>
      <w:r w:rsidR="00CD570F" w:rsidRPr="00CD570F">
        <w:rPr>
          <w:rFonts w:ascii="仿宋_GB2312" w:eastAsia="仿宋_GB2312" w:hAnsi="仿宋_GB2312" w:cs="仿宋_GB2312" w:hint="eastAsia"/>
          <w:color w:val="000000"/>
          <w:kern w:val="0"/>
          <w:sz w:val="30"/>
          <w:szCs w:val="30"/>
        </w:rPr>
        <w:t>天津滨海德商村镇银行股份有限公司2018年度董事会工作报告（草案）</w:t>
      </w:r>
      <w:r>
        <w:rPr>
          <w:rFonts w:ascii="仿宋_GB2312" w:eastAsia="仿宋_GB2312" w:hAnsi="仿宋_GB2312" w:cs="仿宋_GB2312" w:hint="eastAsia"/>
          <w:color w:val="000000"/>
          <w:kern w:val="0"/>
          <w:sz w:val="30"/>
          <w:szCs w:val="30"/>
        </w:rPr>
        <w:t>》、《</w:t>
      </w:r>
      <w:r w:rsidR="00CD570F" w:rsidRPr="00CD570F">
        <w:rPr>
          <w:rFonts w:ascii="仿宋_GB2312" w:eastAsia="仿宋_GB2312" w:hAnsi="仿宋_GB2312" w:cs="仿宋_GB2312" w:hint="eastAsia"/>
          <w:color w:val="000000"/>
          <w:kern w:val="0"/>
          <w:sz w:val="30"/>
          <w:szCs w:val="30"/>
        </w:rPr>
        <w:t>天津滨海德商村镇银行股份有限公司2018年度监事会工作报告（草案）</w:t>
      </w:r>
      <w:r>
        <w:rPr>
          <w:rFonts w:ascii="仿宋_GB2312" w:eastAsia="仿宋_GB2312" w:hAnsi="仿宋_GB2312" w:cs="仿宋_GB2312" w:hint="eastAsia"/>
          <w:color w:val="000000"/>
          <w:kern w:val="0"/>
          <w:sz w:val="30"/>
          <w:szCs w:val="30"/>
        </w:rPr>
        <w:t>》、《</w:t>
      </w:r>
      <w:r w:rsidR="00CD570F" w:rsidRPr="00CD570F">
        <w:rPr>
          <w:rFonts w:ascii="仿宋_GB2312" w:eastAsia="仿宋_GB2312" w:hAnsi="仿宋_GB2312" w:cs="仿宋_GB2312" w:hint="eastAsia"/>
          <w:color w:val="000000"/>
          <w:kern w:val="0"/>
          <w:sz w:val="30"/>
          <w:szCs w:val="30"/>
        </w:rPr>
        <w:t>天津滨海德商村镇银行股份有限公司</w:t>
      </w:r>
      <w:r w:rsidR="00CD570F" w:rsidRPr="00CD570F">
        <w:rPr>
          <w:rFonts w:ascii="仿宋_GB2312" w:eastAsia="仿宋_GB2312" w:hAnsi="仿宋_GB2312" w:cs="仿宋_GB2312"/>
          <w:color w:val="000000"/>
          <w:kern w:val="0"/>
          <w:sz w:val="30"/>
          <w:szCs w:val="30"/>
        </w:rPr>
        <w:t>201</w:t>
      </w:r>
      <w:r w:rsidR="00CD570F" w:rsidRPr="00CD570F">
        <w:rPr>
          <w:rFonts w:ascii="仿宋_GB2312" w:eastAsia="仿宋_GB2312" w:hAnsi="仿宋_GB2312" w:cs="仿宋_GB2312" w:hint="eastAsia"/>
          <w:color w:val="000000"/>
          <w:kern w:val="0"/>
          <w:sz w:val="30"/>
          <w:szCs w:val="30"/>
        </w:rPr>
        <w:t>8年度财务决算报告（草案）</w:t>
      </w:r>
      <w:r>
        <w:rPr>
          <w:rFonts w:ascii="仿宋_GB2312" w:eastAsia="仿宋_GB2312" w:hAnsi="仿宋_GB2312" w:cs="仿宋_GB2312" w:hint="eastAsia"/>
          <w:color w:val="000000"/>
          <w:kern w:val="0"/>
          <w:sz w:val="30"/>
          <w:szCs w:val="30"/>
        </w:rPr>
        <w:t>》等</w:t>
      </w:r>
      <w:r w:rsidR="00CD570F">
        <w:rPr>
          <w:rFonts w:ascii="仿宋_GB2312" w:eastAsia="仿宋_GB2312" w:hAnsi="仿宋_GB2312" w:cs="仿宋_GB2312" w:hint="eastAsia"/>
          <w:color w:val="000000"/>
          <w:kern w:val="0"/>
          <w:sz w:val="30"/>
          <w:szCs w:val="30"/>
        </w:rPr>
        <w:t>5</w:t>
      </w:r>
      <w:r>
        <w:rPr>
          <w:rFonts w:ascii="仿宋_GB2312" w:eastAsia="仿宋_GB2312" w:hAnsi="仿宋_GB2312" w:cs="仿宋_GB2312" w:hint="eastAsia"/>
          <w:color w:val="000000"/>
          <w:kern w:val="0"/>
          <w:sz w:val="30"/>
          <w:szCs w:val="30"/>
        </w:rPr>
        <w:t>项议案。会议由</w:t>
      </w:r>
      <w:r w:rsidR="00CD570F">
        <w:rPr>
          <w:rFonts w:ascii="仿宋_GB2312" w:eastAsia="仿宋_GB2312" w:hAnsi="仿宋_GB2312" w:cs="仿宋_GB2312" w:hint="eastAsia"/>
          <w:color w:val="000000"/>
          <w:kern w:val="0"/>
          <w:sz w:val="30"/>
          <w:szCs w:val="30"/>
        </w:rPr>
        <w:t>大有</w:t>
      </w:r>
      <w:r>
        <w:rPr>
          <w:rFonts w:ascii="仿宋_GB2312" w:eastAsia="仿宋_GB2312" w:hAnsi="仿宋_GB2312" w:cs="仿宋_GB2312" w:hint="eastAsia"/>
          <w:color w:val="000000"/>
          <w:kern w:val="0"/>
          <w:sz w:val="30"/>
          <w:szCs w:val="30"/>
        </w:rPr>
        <w:t>律师事务所</w:t>
      </w:r>
      <w:r w:rsidR="00CD570F">
        <w:rPr>
          <w:rFonts w:ascii="仿宋_GB2312" w:eastAsia="仿宋_GB2312" w:hAnsi="仿宋_GB2312" w:cs="仿宋_GB2312" w:hint="eastAsia"/>
          <w:color w:val="000000"/>
          <w:kern w:val="0"/>
          <w:sz w:val="30"/>
          <w:szCs w:val="30"/>
        </w:rPr>
        <w:t>李华</w:t>
      </w:r>
      <w:r>
        <w:rPr>
          <w:rFonts w:ascii="仿宋_GB2312" w:eastAsia="仿宋_GB2312" w:hAnsi="仿宋_GB2312" w:cs="仿宋_GB2312" w:hint="eastAsia"/>
          <w:color w:val="000000"/>
          <w:kern w:val="0"/>
          <w:sz w:val="30"/>
          <w:szCs w:val="30"/>
        </w:rPr>
        <w:t>、</w:t>
      </w:r>
      <w:r w:rsidR="00CD570F">
        <w:rPr>
          <w:rFonts w:ascii="仿宋_GB2312" w:eastAsia="仿宋_GB2312" w:hAnsi="仿宋_GB2312" w:cs="仿宋_GB2312" w:hint="eastAsia"/>
          <w:color w:val="000000"/>
          <w:kern w:val="0"/>
          <w:sz w:val="30"/>
          <w:szCs w:val="30"/>
        </w:rPr>
        <w:t>冯佳欢</w:t>
      </w:r>
      <w:r>
        <w:rPr>
          <w:rFonts w:ascii="仿宋_GB2312" w:eastAsia="仿宋_GB2312" w:hAnsi="仿宋_GB2312" w:cs="仿宋_GB2312" w:hint="eastAsia"/>
          <w:color w:val="000000"/>
          <w:kern w:val="0"/>
          <w:sz w:val="30"/>
          <w:szCs w:val="30"/>
        </w:rPr>
        <w:t>二位律师给予法律见证。</w:t>
      </w:r>
    </w:p>
    <w:p w:rsidR="0045011A" w:rsidRPr="00453D00" w:rsidRDefault="0045011A" w:rsidP="00453D00">
      <w:pPr>
        <w:spacing w:line="560" w:lineRule="exact"/>
        <w:ind w:firstLine="570"/>
        <w:rPr>
          <w:rFonts w:ascii="仿宋_GB2312" w:eastAsia="仿宋_GB2312" w:hAnsi="宋体" w:cs="宋体"/>
          <w:sz w:val="30"/>
          <w:szCs w:val="30"/>
          <w:highlight w:val="yellow"/>
        </w:rPr>
      </w:pPr>
      <w:r>
        <w:rPr>
          <w:rFonts w:ascii="仿宋_GB2312" w:eastAsia="仿宋_GB2312" w:hAnsi="仿宋_GB2312" w:cs="仿宋_GB2312" w:hint="eastAsia"/>
          <w:color w:val="000000"/>
          <w:kern w:val="0"/>
          <w:sz w:val="30"/>
          <w:szCs w:val="30"/>
        </w:rPr>
        <w:t xml:space="preserve">二、董事会的构成及其工作情况 </w:t>
      </w:r>
    </w:p>
    <w:p w:rsidR="0045011A" w:rsidRDefault="0045011A" w:rsidP="0045011A">
      <w:pPr>
        <w:spacing w:line="560" w:lineRule="exact"/>
        <w:ind w:firstLine="57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 xml:space="preserve">（一）董事会成员基本情况                               </w:t>
      </w:r>
    </w:p>
    <w:tbl>
      <w:tblPr>
        <w:tblW w:w="85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008"/>
        <w:gridCol w:w="708"/>
        <w:gridCol w:w="567"/>
        <w:gridCol w:w="851"/>
        <w:gridCol w:w="709"/>
        <w:gridCol w:w="3543"/>
        <w:gridCol w:w="1134"/>
      </w:tblGrid>
      <w:tr w:rsidR="0045011A" w:rsidTr="00855EA0">
        <w:trPr>
          <w:trHeight w:val="50"/>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职务</w:t>
            </w:r>
          </w:p>
        </w:tc>
        <w:tc>
          <w:tcPr>
            <w:tcW w:w="708"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567"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性别</w:t>
            </w:r>
          </w:p>
        </w:tc>
        <w:tc>
          <w:tcPr>
            <w:tcW w:w="851"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出生年月</w:t>
            </w:r>
          </w:p>
        </w:tc>
        <w:tc>
          <w:tcPr>
            <w:tcW w:w="709"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学历</w:t>
            </w:r>
          </w:p>
        </w:tc>
        <w:tc>
          <w:tcPr>
            <w:tcW w:w="3543"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任职单位及职务</w:t>
            </w:r>
          </w:p>
        </w:tc>
        <w:tc>
          <w:tcPr>
            <w:tcW w:w="1134"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持有股份(股)</w:t>
            </w:r>
          </w:p>
        </w:tc>
      </w:tr>
      <w:tr w:rsidR="00855EA0" w:rsidTr="00855EA0">
        <w:trPr>
          <w:trHeight w:val="332"/>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董事长</w:t>
            </w:r>
          </w:p>
        </w:tc>
        <w:tc>
          <w:tcPr>
            <w:tcW w:w="708"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曹治中</w:t>
            </w:r>
          </w:p>
        </w:tc>
        <w:tc>
          <w:tcPr>
            <w:tcW w:w="567"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男</w:t>
            </w:r>
          </w:p>
        </w:tc>
        <w:tc>
          <w:tcPr>
            <w:tcW w:w="851"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1976.06</w:t>
            </w:r>
          </w:p>
        </w:tc>
        <w:tc>
          <w:tcPr>
            <w:tcW w:w="709"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本科</w:t>
            </w:r>
          </w:p>
        </w:tc>
        <w:tc>
          <w:tcPr>
            <w:tcW w:w="3543"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浙江德清农村商业银行股份有限公司副行长</w:t>
            </w:r>
          </w:p>
        </w:tc>
        <w:tc>
          <w:tcPr>
            <w:tcW w:w="1134"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55EA0" w:rsidTr="00855EA0">
        <w:trPr>
          <w:trHeight w:val="332"/>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董事</w:t>
            </w:r>
          </w:p>
        </w:tc>
        <w:tc>
          <w:tcPr>
            <w:tcW w:w="708"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吴力宏</w:t>
            </w:r>
          </w:p>
        </w:tc>
        <w:tc>
          <w:tcPr>
            <w:tcW w:w="567"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男</w:t>
            </w:r>
          </w:p>
        </w:tc>
        <w:tc>
          <w:tcPr>
            <w:tcW w:w="851"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1976.05</w:t>
            </w:r>
          </w:p>
        </w:tc>
        <w:tc>
          <w:tcPr>
            <w:tcW w:w="709"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本科</w:t>
            </w:r>
          </w:p>
        </w:tc>
        <w:tc>
          <w:tcPr>
            <w:tcW w:w="3543"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天津滨海德商村镇银行股份有限公司行长</w:t>
            </w:r>
          </w:p>
        </w:tc>
        <w:tc>
          <w:tcPr>
            <w:tcW w:w="1134"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55EA0" w:rsidTr="00855EA0">
        <w:trPr>
          <w:trHeight w:val="377"/>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董事</w:t>
            </w:r>
          </w:p>
        </w:tc>
        <w:tc>
          <w:tcPr>
            <w:tcW w:w="708"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卢建强</w:t>
            </w:r>
          </w:p>
        </w:tc>
        <w:tc>
          <w:tcPr>
            <w:tcW w:w="567"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男</w:t>
            </w:r>
          </w:p>
        </w:tc>
        <w:tc>
          <w:tcPr>
            <w:tcW w:w="851"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1968.12</w:t>
            </w:r>
          </w:p>
        </w:tc>
        <w:tc>
          <w:tcPr>
            <w:tcW w:w="709"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大专</w:t>
            </w:r>
          </w:p>
        </w:tc>
        <w:tc>
          <w:tcPr>
            <w:tcW w:w="3543"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天津滨海德商村镇银行股份有限公司副行长</w:t>
            </w:r>
          </w:p>
        </w:tc>
        <w:tc>
          <w:tcPr>
            <w:tcW w:w="1134"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55EA0" w:rsidTr="00855EA0">
        <w:trPr>
          <w:trHeight w:val="65"/>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董事</w:t>
            </w:r>
          </w:p>
        </w:tc>
        <w:tc>
          <w:tcPr>
            <w:tcW w:w="708"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时明</w:t>
            </w:r>
          </w:p>
        </w:tc>
        <w:tc>
          <w:tcPr>
            <w:tcW w:w="567"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男</w:t>
            </w:r>
          </w:p>
        </w:tc>
        <w:tc>
          <w:tcPr>
            <w:tcW w:w="851"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1967.07</w:t>
            </w:r>
          </w:p>
        </w:tc>
        <w:tc>
          <w:tcPr>
            <w:tcW w:w="709"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本科</w:t>
            </w:r>
          </w:p>
        </w:tc>
        <w:tc>
          <w:tcPr>
            <w:tcW w:w="3543"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天津滨海投资集团股份有限公司投资总监</w:t>
            </w:r>
          </w:p>
        </w:tc>
        <w:tc>
          <w:tcPr>
            <w:tcW w:w="1134" w:type="dxa"/>
            <w:tcBorders>
              <w:top w:val="outset" w:sz="6" w:space="0" w:color="auto"/>
              <w:left w:val="outset" w:sz="6" w:space="0" w:color="auto"/>
              <w:bottom w:val="outset" w:sz="6" w:space="0" w:color="auto"/>
              <w:right w:val="outset" w:sz="6" w:space="0" w:color="auto"/>
            </w:tcBorders>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855EA0" w:rsidTr="00855EA0">
        <w:trPr>
          <w:trHeight w:val="65"/>
          <w:tblCellSpacing w:w="0" w:type="dxa"/>
        </w:trPr>
        <w:tc>
          <w:tcPr>
            <w:tcW w:w="1008" w:type="dxa"/>
            <w:tcBorders>
              <w:top w:val="outset" w:sz="6" w:space="0" w:color="auto"/>
              <w:left w:val="outset" w:sz="6" w:space="0" w:color="auto"/>
              <w:bottom w:val="outset" w:sz="6" w:space="0" w:color="auto"/>
              <w:right w:val="outset" w:sz="6" w:space="0" w:color="auto"/>
            </w:tcBorders>
            <w:vAlign w:val="center"/>
          </w:tcPr>
          <w:p w:rsidR="00855EA0" w:rsidRDefault="00855EA0"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董事</w:t>
            </w:r>
          </w:p>
        </w:tc>
        <w:tc>
          <w:tcPr>
            <w:tcW w:w="708"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鲍征</w:t>
            </w:r>
          </w:p>
        </w:tc>
        <w:tc>
          <w:tcPr>
            <w:tcW w:w="567"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女</w:t>
            </w:r>
          </w:p>
        </w:tc>
        <w:tc>
          <w:tcPr>
            <w:tcW w:w="851"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1978.07</w:t>
            </w:r>
          </w:p>
        </w:tc>
        <w:tc>
          <w:tcPr>
            <w:tcW w:w="709"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研究生</w:t>
            </w:r>
          </w:p>
        </w:tc>
        <w:tc>
          <w:tcPr>
            <w:tcW w:w="3543" w:type="dxa"/>
            <w:tcBorders>
              <w:top w:val="outset" w:sz="6" w:space="0" w:color="auto"/>
              <w:left w:val="outset" w:sz="6" w:space="0" w:color="auto"/>
              <w:bottom w:val="outset" w:sz="6" w:space="0" w:color="auto"/>
              <w:right w:val="outset" w:sz="6" w:space="0" w:color="auto"/>
            </w:tcBorders>
            <w:vAlign w:val="center"/>
          </w:tcPr>
          <w:p w:rsidR="00855EA0" w:rsidRPr="00855EA0" w:rsidRDefault="00855EA0" w:rsidP="00855EA0">
            <w:pPr>
              <w:spacing w:line="400" w:lineRule="exact"/>
              <w:jc w:val="center"/>
              <w:rPr>
                <w:rFonts w:ascii="宋体" w:hAnsi="宋体" w:cs="宋体"/>
                <w:color w:val="000000"/>
                <w:kern w:val="0"/>
                <w:sz w:val="18"/>
                <w:szCs w:val="18"/>
              </w:rPr>
            </w:pPr>
            <w:r w:rsidRPr="00855EA0">
              <w:rPr>
                <w:rFonts w:ascii="宋体" w:hAnsi="宋体" w:cs="宋体" w:hint="eastAsia"/>
                <w:color w:val="000000"/>
                <w:kern w:val="0"/>
                <w:sz w:val="18"/>
                <w:szCs w:val="18"/>
              </w:rPr>
              <w:t>湘财证券股份有限公司北京首体南路证券营业部财务经理</w:t>
            </w:r>
          </w:p>
        </w:tc>
        <w:tc>
          <w:tcPr>
            <w:tcW w:w="1134" w:type="dxa"/>
            <w:tcBorders>
              <w:top w:val="outset" w:sz="6" w:space="0" w:color="auto"/>
              <w:left w:val="outset" w:sz="6" w:space="0" w:color="auto"/>
              <w:bottom w:val="outset" w:sz="6" w:space="0" w:color="auto"/>
              <w:right w:val="outset" w:sz="6" w:space="0" w:color="auto"/>
            </w:tcBorders>
          </w:tcPr>
          <w:p w:rsidR="00855EA0" w:rsidRDefault="00272286" w:rsidP="0045011A">
            <w:pPr>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r>
    </w:tbl>
    <w:p w:rsidR="0045011A" w:rsidRDefault="0045011A" w:rsidP="0045011A">
      <w:pPr>
        <w:spacing w:line="560" w:lineRule="exact"/>
        <w:ind w:firstLine="57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（二）董事会工作情况</w:t>
      </w:r>
    </w:p>
    <w:p w:rsidR="0045011A" w:rsidRDefault="0045011A" w:rsidP="0045011A">
      <w:pPr>
        <w:pStyle w:val="Default"/>
        <w:adjustRightInd/>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1.董事会会议召开情况</w:t>
      </w:r>
    </w:p>
    <w:p w:rsidR="0045011A" w:rsidRDefault="0045011A" w:rsidP="0045011A">
      <w:pPr>
        <w:pStyle w:val="Default"/>
        <w:adjustRightInd/>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报告期内，本行共召开董事会</w:t>
      </w:r>
      <w:r w:rsidR="000E5C2D">
        <w:rPr>
          <w:rFonts w:ascii="仿宋_GB2312" w:eastAsia="仿宋_GB2312" w:hAnsi="仿宋_GB2312" w:cs="仿宋_GB2312" w:hint="eastAsia"/>
          <w:sz w:val="30"/>
          <w:szCs w:val="30"/>
        </w:rPr>
        <w:t>4次</w:t>
      </w:r>
      <w:r>
        <w:rPr>
          <w:rFonts w:ascii="仿宋_GB2312" w:eastAsia="仿宋_GB2312" w:hAnsi="仿宋_GB2312" w:cs="仿宋_GB2312" w:hint="eastAsia"/>
          <w:sz w:val="30"/>
          <w:szCs w:val="30"/>
        </w:rPr>
        <w:t>。</w:t>
      </w:r>
    </w:p>
    <w:p w:rsidR="0045011A" w:rsidRDefault="0045011A" w:rsidP="0045011A">
      <w:pPr>
        <w:pStyle w:val="Default"/>
        <w:adjustRightInd/>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（1）本行于2019年</w:t>
      </w:r>
      <w:r w:rsidR="00D23105">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sidR="00D23105">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日召开第</w:t>
      </w:r>
      <w:r w:rsidR="00D23105">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届董事会第</w:t>
      </w:r>
      <w:r w:rsidR="00D23105">
        <w:rPr>
          <w:rFonts w:ascii="仿宋_GB2312" w:eastAsia="仿宋_GB2312" w:hAnsi="仿宋_GB2312" w:cs="仿宋_GB2312" w:hint="eastAsia"/>
          <w:sz w:val="30"/>
          <w:szCs w:val="30"/>
        </w:rPr>
        <w:t>四</w:t>
      </w:r>
      <w:r>
        <w:rPr>
          <w:rFonts w:ascii="仿宋_GB2312" w:eastAsia="仿宋_GB2312" w:hAnsi="仿宋_GB2312" w:cs="仿宋_GB2312" w:hint="eastAsia"/>
          <w:sz w:val="30"/>
          <w:szCs w:val="30"/>
        </w:rPr>
        <w:t>次会议，会议审议通过了《</w:t>
      </w:r>
      <w:r w:rsidR="00D23105" w:rsidRPr="00D23105">
        <w:rPr>
          <w:rFonts w:ascii="仿宋_GB2312" w:eastAsia="仿宋_GB2312" w:hAnsi="仿宋_GB2312" w:cs="仿宋_GB2312" w:hint="eastAsia"/>
          <w:sz w:val="30"/>
          <w:szCs w:val="30"/>
        </w:rPr>
        <w:t>天津滨海德商村镇银行股份有限公司2018年度反洗钱工作报告（草案）</w:t>
      </w:r>
      <w:r>
        <w:rPr>
          <w:rFonts w:ascii="仿宋_GB2312" w:eastAsia="仿宋_GB2312" w:hAnsi="仿宋_GB2312" w:cs="仿宋_GB2312" w:hint="eastAsia"/>
          <w:sz w:val="30"/>
          <w:szCs w:val="30"/>
        </w:rPr>
        <w:t>》、《</w:t>
      </w:r>
      <w:r w:rsidR="00D23105" w:rsidRPr="00D23105">
        <w:rPr>
          <w:rFonts w:ascii="仿宋_GB2312" w:eastAsia="仿宋_GB2312" w:hAnsi="仿宋_GB2312" w:cs="仿宋_GB2312" w:hint="eastAsia"/>
          <w:sz w:val="30"/>
          <w:szCs w:val="30"/>
        </w:rPr>
        <w:t>天津滨海德商村镇银行股份有限公司2018年行长室工作报告（草案）</w:t>
      </w:r>
      <w:r>
        <w:rPr>
          <w:rFonts w:ascii="仿宋_GB2312" w:eastAsia="仿宋_GB2312" w:hAnsi="仿宋_GB2312" w:cs="仿宋_GB2312" w:hint="eastAsia"/>
          <w:sz w:val="30"/>
          <w:szCs w:val="30"/>
        </w:rPr>
        <w:t>》、《</w:t>
      </w:r>
      <w:r w:rsidR="00D23105" w:rsidRPr="00D23105">
        <w:rPr>
          <w:rFonts w:ascii="仿宋_GB2312" w:eastAsia="仿宋_GB2312" w:hAnsi="仿宋_GB2312" w:cs="仿宋_GB2312" w:hint="eastAsia"/>
          <w:sz w:val="30"/>
          <w:szCs w:val="30"/>
        </w:rPr>
        <w:t>天津滨海德商村镇银行股份有限公司董事会关于2018年度董事履职评价的报告（草案）</w:t>
      </w:r>
      <w:r>
        <w:rPr>
          <w:rFonts w:ascii="仿宋_GB2312" w:eastAsia="仿宋_GB2312" w:hAnsi="仿宋_GB2312" w:cs="仿宋_GB2312" w:hint="eastAsia"/>
          <w:sz w:val="30"/>
          <w:szCs w:val="30"/>
        </w:rPr>
        <w:t>》等</w:t>
      </w:r>
      <w:r w:rsidR="004E7BD1">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项议案。</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w:t>
      </w:r>
      <w:r>
        <w:rPr>
          <w:rFonts w:ascii="仿宋_GB2312" w:eastAsia="仿宋_GB2312" w:hAnsi="仿宋_GB2312" w:cs="仿宋_GB2312" w:hint="eastAsia"/>
          <w:sz w:val="30"/>
          <w:szCs w:val="30"/>
        </w:rPr>
        <w:t>本行于2019年</w:t>
      </w:r>
      <w:r w:rsidR="00D23105">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sidR="00D23105">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日召开第</w:t>
      </w:r>
      <w:r w:rsidR="00D23105">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届董事会第</w:t>
      </w:r>
      <w:r w:rsidR="00D23105">
        <w:rPr>
          <w:rFonts w:ascii="仿宋_GB2312" w:eastAsia="仿宋_GB2312" w:hAnsi="仿宋_GB2312" w:cs="仿宋_GB2312" w:hint="eastAsia"/>
          <w:sz w:val="30"/>
          <w:szCs w:val="30"/>
        </w:rPr>
        <w:t>五</w:t>
      </w:r>
      <w:r>
        <w:rPr>
          <w:rFonts w:ascii="仿宋_GB2312" w:eastAsia="仿宋_GB2312" w:hAnsi="仿宋_GB2312" w:cs="仿宋_GB2312" w:hint="eastAsia"/>
          <w:sz w:val="30"/>
          <w:szCs w:val="30"/>
        </w:rPr>
        <w:t>次会议，会议审议通过了《</w:t>
      </w:r>
      <w:r w:rsidR="00D23105" w:rsidRPr="00D23105">
        <w:rPr>
          <w:rFonts w:ascii="仿宋_GB2312" w:eastAsia="仿宋_GB2312" w:hAnsi="仿宋_GB2312" w:cs="仿宋_GB2312" w:hint="eastAsia"/>
          <w:sz w:val="30"/>
          <w:szCs w:val="30"/>
        </w:rPr>
        <w:t>天津滨海德商村镇银行股份有限公司</w:t>
      </w:r>
      <w:r w:rsidR="00D23105" w:rsidRPr="00D23105">
        <w:rPr>
          <w:rFonts w:ascii="仿宋_GB2312" w:eastAsia="仿宋_GB2312" w:hAnsi="仿宋_GB2312" w:cs="仿宋_GB2312"/>
          <w:sz w:val="30"/>
          <w:szCs w:val="30"/>
        </w:rPr>
        <w:t>201</w:t>
      </w:r>
      <w:r w:rsidR="00D23105" w:rsidRPr="00D23105">
        <w:rPr>
          <w:rFonts w:ascii="仿宋_GB2312" w:eastAsia="仿宋_GB2312" w:hAnsi="仿宋_GB2312" w:cs="仿宋_GB2312" w:hint="eastAsia"/>
          <w:sz w:val="30"/>
          <w:szCs w:val="30"/>
        </w:rPr>
        <w:t>8年度报告（草案）</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w:t>
      </w:r>
      <w:r w:rsidR="00D23105" w:rsidRPr="00D23105">
        <w:rPr>
          <w:rFonts w:ascii="仿宋_GB2312" w:eastAsia="仿宋_GB2312" w:hAnsi="仿宋_GB2312" w:cs="仿宋_GB2312" w:hint="eastAsia"/>
          <w:color w:val="000000"/>
          <w:kern w:val="0"/>
          <w:sz w:val="30"/>
          <w:szCs w:val="30"/>
        </w:rPr>
        <w:t>天津滨海德商村镇银行股份有限公司2018年度董事会工作报告（草案）</w:t>
      </w:r>
      <w:r>
        <w:rPr>
          <w:rFonts w:ascii="仿宋_GB2312" w:eastAsia="仿宋_GB2312" w:hAnsi="仿宋_GB2312" w:cs="仿宋_GB2312" w:hint="eastAsia"/>
          <w:color w:val="000000"/>
          <w:kern w:val="0"/>
          <w:sz w:val="30"/>
          <w:szCs w:val="30"/>
        </w:rPr>
        <w:t>》、《</w:t>
      </w:r>
      <w:r w:rsidR="00D23105" w:rsidRPr="00D23105">
        <w:rPr>
          <w:rFonts w:ascii="仿宋_GB2312" w:eastAsia="仿宋_GB2312" w:hAnsi="仿宋_GB2312" w:cs="仿宋_GB2312" w:hint="eastAsia"/>
          <w:color w:val="000000"/>
          <w:kern w:val="0"/>
          <w:sz w:val="30"/>
          <w:szCs w:val="30"/>
        </w:rPr>
        <w:t>关于调整天津滨海德商村镇银行股份有限公司财务负责人的议案</w:t>
      </w:r>
      <w:r w:rsidR="00D23105">
        <w:rPr>
          <w:rFonts w:ascii="仿宋_GB2312" w:eastAsia="仿宋_GB2312" w:hAnsi="仿宋_GB2312" w:cs="仿宋_GB2312" w:hint="eastAsia"/>
          <w:color w:val="000000"/>
          <w:kern w:val="0"/>
          <w:sz w:val="30"/>
          <w:szCs w:val="30"/>
        </w:rPr>
        <w:t>》等</w:t>
      </w:r>
      <w:r w:rsidR="004E7BD1">
        <w:rPr>
          <w:rFonts w:ascii="仿宋_GB2312" w:eastAsia="仿宋_GB2312" w:hAnsi="仿宋_GB2312" w:cs="仿宋_GB2312" w:hint="eastAsia"/>
          <w:color w:val="000000"/>
          <w:kern w:val="0"/>
          <w:sz w:val="30"/>
          <w:szCs w:val="30"/>
        </w:rPr>
        <w:t>11</w:t>
      </w:r>
      <w:r>
        <w:rPr>
          <w:rFonts w:ascii="仿宋_GB2312" w:eastAsia="仿宋_GB2312" w:hAnsi="仿宋_GB2312" w:cs="仿宋_GB2312" w:hint="eastAsia"/>
          <w:color w:val="000000"/>
          <w:kern w:val="0"/>
          <w:sz w:val="30"/>
          <w:szCs w:val="30"/>
        </w:rPr>
        <w:t>项议案</w:t>
      </w:r>
      <w:r>
        <w:rPr>
          <w:rFonts w:ascii="仿宋_GB2312" w:eastAsia="仿宋_GB2312" w:hAnsi="仿宋_GB2312" w:cs="仿宋_GB2312" w:hint="eastAsia"/>
          <w:sz w:val="30"/>
          <w:szCs w:val="30"/>
        </w:rPr>
        <w:t>。</w:t>
      </w:r>
    </w:p>
    <w:p w:rsidR="0045011A" w:rsidRDefault="0045011A" w:rsidP="0045011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color w:val="000000"/>
          <w:kern w:val="0"/>
          <w:sz w:val="30"/>
          <w:szCs w:val="30"/>
        </w:rPr>
        <w:t>（3）</w:t>
      </w:r>
      <w:r w:rsidR="00D23105">
        <w:rPr>
          <w:rFonts w:ascii="仿宋_GB2312" w:eastAsia="仿宋_GB2312" w:hAnsi="仿宋_GB2312" w:cs="仿宋_GB2312" w:hint="eastAsia"/>
          <w:sz w:val="30"/>
          <w:szCs w:val="30"/>
        </w:rPr>
        <w:t>本行于2019年8月16日召开第二届董事会第六次会议，会议审议通过了《</w:t>
      </w:r>
      <w:r w:rsidR="00D23105" w:rsidRPr="00D23105">
        <w:rPr>
          <w:rFonts w:ascii="仿宋_GB2312" w:eastAsia="仿宋_GB2312" w:hAnsi="仿宋_GB2312" w:cs="仿宋_GB2312" w:hint="eastAsia"/>
          <w:sz w:val="30"/>
          <w:szCs w:val="30"/>
        </w:rPr>
        <w:t>天津滨海德商村镇银行股份有限公司内部审计操作指导意见（草案）</w:t>
      </w:r>
      <w:r w:rsidR="00D23105">
        <w:rPr>
          <w:rFonts w:ascii="仿宋_GB2312" w:eastAsia="仿宋_GB2312" w:hAnsi="仿宋_GB2312" w:cs="仿宋_GB2312" w:hint="eastAsia"/>
          <w:sz w:val="30"/>
          <w:szCs w:val="30"/>
        </w:rPr>
        <w:t>》、</w:t>
      </w:r>
      <w:r w:rsidR="00D23105">
        <w:rPr>
          <w:rFonts w:ascii="仿宋_GB2312" w:eastAsia="仿宋_GB2312" w:hAnsi="仿宋_GB2312" w:cs="仿宋_GB2312" w:hint="eastAsia"/>
          <w:color w:val="000000"/>
          <w:kern w:val="0"/>
          <w:sz w:val="30"/>
          <w:szCs w:val="30"/>
        </w:rPr>
        <w:t>《</w:t>
      </w:r>
      <w:r w:rsidR="00D23105" w:rsidRPr="00D23105">
        <w:rPr>
          <w:rFonts w:ascii="仿宋_GB2312" w:eastAsia="仿宋_GB2312" w:hAnsi="仿宋_GB2312" w:cs="仿宋_GB2312" w:hint="eastAsia"/>
          <w:color w:val="000000"/>
          <w:kern w:val="0"/>
          <w:sz w:val="30"/>
          <w:szCs w:val="30"/>
        </w:rPr>
        <w:t>天津滨海德商村镇银行股份有限公司内部审计工作规定（草案）</w:t>
      </w:r>
      <w:r w:rsidR="00D23105">
        <w:rPr>
          <w:rFonts w:ascii="仿宋_GB2312" w:eastAsia="仿宋_GB2312" w:hAnsi="仿宋_GB2312" w:cs="仿宋_GB2312" w:hint="eastAsia"/>
          <w:color w:val="000000"/>
          <w:kern w:val="0"/>
          <w:sz w:val="30"/>
          <w:szCs w:val="30"/>
        </w:rPr>
        <w:t>》、《</w:t>
      </w:r>
      <w:r w:rsidR="00D23105" w:rsidRPr="00D23105">
        <w:rPr>
          <w:rFonts w:ascii="仿宋_GB2312" w:eastAsia="仿宋_GB2312" w:hAnsi="仿宋_GB2312" w:cs="仿宋_GB2312" w:hint="eastAsia"/>
          <w:color w:val="000000"/>
          <w:kern w:val="0"/>
          <w:sz w:val="30"/>
          <w:szCs w:val="30"/>
        </w:rPr>
        <w:t>天津滨海德商村镇银行股份有限公司关于呆账核销的议案</w:t>
      </w:r>
      <w:r w:rsidR="00D23105">
        <w:rPr>
          <w:rFonts w:ascii="仿宋_GB2312" w:eastAsia="仿宋_GB2312" w:hAnsi="仿宋_GB2312" w:cs="仿宋_GB2312" w:hint="eastAsia"/>
          <w:color w:val="000000"/>
          <w:kern w:val="0"/>
          <w:sz w:val="30"/>
          <w:szCs w:val="30"/>
        </w:rPr>
        <w:t>》</w:t>
      </w:r>
      <w:r w:rsidR="004E7BD1">
        <w:rPr>
          <w:rFonts w:ascii="仿宋_GB2312" w:eastAsia="仿宋_GB2312" w:hAnsi="仿宋_GB2312" w:cs="仿宋_GB2312" w:hint="eastAsia"/>
          <w:color w:val="000000"/>
          <w:kern w:val="0"/>
          <w:sz w:val="30"/>
          <w:szCs w:val="30"/>
        </w:rPr>
        <w:t>3</w:t>
      </w:r>
      <w:r w:rsidR="00D23105">
        <w:rPr>
          <w:rFonts w:ascii="仿宋_GB2312" w:eastAsia="仿宋_GB2312" w:hAnsi="仿宋_GB2312" w:cs="仿宋_GB2312" w:hint="eastAsia"/>
          <w:color w:val="000000"/>
          <w:kern w:val="0"/>
          <w:sz w:val="30"/>
          <w:szCs w:val="30"/>
        </w:rPr>
        <w:t>项议案</w:t>
      </w:r>
      <w:r w:rsidR="00D23105">
        <w:rPr>
          <w:rFonts w:ascii="仿宋_GB2312" w:eastAsia="仿宋_GB2312" w:hAnsi="仿宋_GB2312" w:cs="仿宋_GB2312" w:hint="eastAsia"/>
          <w:sz w:val="30"/>
          <w:szCs w:val="30"/>
        </w:rPr>
        <w:t>。</w:t>
      </w:r>
    </w:p>
    <w:p w:rsidR="00AF049C" w:rsidRDefault="00AF049C"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lastRenderedPageBreak/>
        <w:t>（4）</w:t>
      </w:r>
      <w:r>
        <w:rPr>
          <w:rFonts w:ascii="仿宋_GB2312" w:eastAsia="仿宋_GB2312" w:hAnsi="仿宋_GB2312" w:cs="仿宋_GB2312" w:hint="eastAsia"/>
          <w:sz w:val="30"/>
          <w:szCs w:val="30"/>
        </w:rPr>
        <w:t>本行于2019年12月3日召开第二届董事会第六次会议，会议审议通过了《</w:t>
      </w:r>
      <w:r w:rsidRPr="00AF049C">
        <w:rPr>
          <w:rFonts w:ascii="仿宋_GB2312" w:eastAsia="仿宋_GB2312" w:hAnsi="仿宋_GB2312" w:cs="仿宋_GB2312" w:hint="eastAsia"/>
          <w:sz w:val="30"/>
          <w:szCs w:val="30"/>
        </w:rPr>
        <w:t>天津滨海德商村镇银行股份有限公司三季度经营情况报告（草案）</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w:t>
      </w:r>
      <w:r w:rsidRPr="00AF049C">
        <w:rPr>
          <w:rFonts w:ascii="仿宋_GB2312" w:eastAsia="仿宋_GB2312" w:hAnsi="仿宋_GB2312" w:cs="仿宋_GB2312" w:hint="eastAsia"/>
          <w:color w:val="000000"/>
          <w:kern w:val="0"/>
          <w:sz w:val="30"/>
          <w:szCs w:val="30"/>
        </w:rPr>
        <w:t>天津滨海德商村镇银行股份有限公司反洗钱管理考核办法（草案）</w:t>
      </w:r>
      <w:r>
        <w:rPr>
          <w:rFonts w:ascii="仿宋_GB2312" w:eastAsia="仿宋_GB2312" w:hAnsi="仿宋_GB2312" w:cs="仿宋_GB2312" w:hint="eastAsia"/>
          <w:color w:val="000000"/>
          <w:kern w:val="0"/>
          <w:sz w:val="30"/>
          <w:szCs w:val="30"/>
        </w:rPr>
        <w:t>》</w:t>
      </w:r>
      <w:r w:rsidR="004E7BD1">
        <w:rPr>
          <w:rFonts w:ascii="仿宋_GB2312" w:eastAsia="仿宋_GB2312" w:hAnsi="仿宋_GB2312" w:cs="仿宋_GB2312" w:hint="eastAsia"/>
          <w:color w:val="000000"/>
          <w:kern w:val="0"/>
          <w:sz w:val="30"/>
          <w:szCs w:val="30"/>
        </w:rPr>
        <w:t>2</w:t>
      </w:r>
      <w:r>
        <w:rPr>
          <w:rFonts w:ascii="仿宋_GB2312" w:eastAsia="仿宋_GB2312" w:hAnsi="仿宋_GB2312" w:cs="仿宋_GB2312" w:hint="eastAsia"/>
          <w:color w:val="000000"/>
          <w:kern w:val="0"/>
          <w:sz w:val="30"/>
          <w:szCs w:val="30"/>
        </w:rPr>
        <w:t>项议案</w:t>
      </w:r>
      <w:r>
        <w:rPr>
          <w:rFonts w:ascii="仿宋_GB2312" w:eastAsia="仿宋_GB2312" w:hAnsi="仿宋_GB2312" w:cs="仿宋_GB2312" w:hint="eastAsia"/>
          <w:sz w:val="30"/>
          <w:szCs w:val="30"/>
        </w:rPr>
        <w:t>。</w:t>
      </w:r>
    </w:p>
    <w:p w:rsidR="0045011A" w:rsidRPr="007636FD"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w:t>
      </w:r>
      <w:r w:rsidRPr="007636FD">
        <w:rPr>
          <w:rFonts w:ascii="仿宋_GB2312" w:eastAsia="仿宋_GB2312" w:hAnsi="仿宋_GB2312" w:cs="仿宋_GB2312" w:hint="eastAsia"/>
          <w:color w:val="000000"/>
          <w:kern w:val="0"/>
          <w:sz w:val="30"/>
          <w:szCs w:val="30"/>
        </w:rPr>
        <w:t>董事会对股东大会的执行情况</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7636FD">
        <w:rPr>
          <w:rFonts w:ascii="仿宋_GB2312" w:eastAsia="仿宋_GB2312" w:hAnsi="仿宋_GB2312" w:cs="仿宋_GB2312" w:hint="eastAsia"/>
          <w:color w:val="000000"/>
          <w:kern w:val="0"/>
          <w:sz w:val="30"/>
          <w:szCs w:val="30"/>
        </w:rPr>
        <w:t>报告期内，董事会按照股东大会的决议，制定工作计划，落实</w:t>
      </w:r>
      <w:r>
        <w:rPr>
          <w:rFonts w:ascii="仿宋_GB2312" w:eastAsia="仿宋_GB2312" w:hAnsi="仿宋_GB2312" w:cs="仿宋_GB2312" w:hint="eastAsia"/>
          <w:color w:val="000000"/>
          <w:kern w:val="0"/>
          <w:sz w:val="30"/>
          <w:szCs w:val="30"/>
        </w:rPr>
        <w:t>措施</w:t>
      </w:r>
      <w:r w:rsidRPr="007636FD">
        <w:rPr>
          <w:rFonts w:ascii="仿宋_GB2312" w:eastAsia="仿宋_GB2312" w:hAnsi="仿宋_GB2312" w:cs="仿宋_GB2312" w:hint="eastAsia"/>
          <w:color w:val="000000"/>
          <w:kern w:val="0"/>
          <w:sz w:val="30"/>
          <w:szCs w:val="30"/>
        </w:rPr>
        <w:t>，严格执行股东大会通过的预算方案。</w:t>
      </w:r>
    </w:p>
    <w:p w:rsidR="0045011A" w:rsidRPr="002D1C18"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w:t>
      </w:r>
      <w:r w:rsidRPr="002D1C18">
        <w:rPr>
          <w:rFonts w:ascii="仿宋_GB2312" w:eastAsia="仿宋_GB2312" w:hAnsi="仿宋_GB2312" w:cs="仿宋_GB2312" w:hint="eastAsia"/>
          <w:color w:val="000000"/>
          <w:kern w:val="0"/>
          <w:sz w:val="30"/>
          <w:szCs w:val="30"/>
        </w:rPr>
        <w:t>董事会专门委员会会议召开情况</w:t>
      </w:r>
    </w:p>
    <w:p w:rsidR="0045011A" w:rsidRPr="00A911D7" w:rsidRDefault="0045011A" w:rsidP="00A911D7">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报告期内，</w:t>
      </w:r>
      <w:r w:rsidR="00A911D7">
        <w:rPr>
          <w:rFonts w:ascii="仿宋_GB2312" w:eastAsia="仿宋_GB2312" w:hAnsi="仿宋_GB2312" w:cs="仿宋_GB2312" w:hint="eastAsia"/>
          <w:color w:val="000000"/>
          <w:kern w:val="0"/>
          <w:sz w:val="30"/>
          <w:szCs w:val="30"/>
        </w:rPr>
        <w:t>董事会</w:t>
      </w:r>
      <w:r w:rsidR="00FD312B" w:rsidRPr="00FD312B">
        <w:rPr>
          <w:rFonts w:ascii="仿宋_GB2312" w:eastAsia="仿宋_GB2312" w:hAnsi="仿宋_GB2312" w:cs="仿宋_GB2312" w:hint="eastAsia"/>
          <w:color w:val="000000"/>
          <w:kern w:val="0"/>
          <w:sz w:val="30"/>
          <w:szCs w:val="30"/>
        </w:rPr>
        <w:t>关联交易控制委员会</w:t>
      </w:r>
      <w:r w:rsidR="00A911D7">
        <w:rPr>
          <w:rFonts w:ascii="仿宋_GB2312" w:eastAsia="仿宋_GB2312" w:hAnsi="仿宋_GB2312" w:cs="仿宋_GB2312" w:hint="eastAsia"/>
          <w:color w:val="000000"/>
          <w:kern w:val="0"/>
          <w:sz w:val="30"/>
          <w:szCs w:val="30"/>
        </w:rPr>
        <w:t>共召开</w:t>
      </w:r>
      <w:r w:rsidRPr="002D1C18">
        <w:rPr>
          <w:rFonts w:ascii="仿宋_GB2312" w:eastAsia="仿宋_GB2312" w:hAnsi="仿宋_GB2312" w:cs="仿宋_GB2312" w:hint="eastAsia"/>
          <w:color w:val="000000"/>
          <w:kern w:val="0"/>
          <w:sz w:val="30"/>
          <w:szCs w:val="30"/>
        </w:rPr>
        <w:t>会议</w:t>
      </w:r>
      <w:r w:rsidR="00A911D7">
        <w:rPr>
          <w:rFonts w:ascii="仿宋_GB2312" w:eastAsia="仿宋_GB2312" w:hAnsi="仿宋_GB2312" w:cs="仿宋_GB2312" w:hint="eastAsia"/>
          <w:color w:val="000000"/>
          <w:kern w:val="0"/>
          <w:sz w:val="30"/>
          <w:szCs w:val="30"/>
        </w:rPr>
        <w:t>2次</w:t>
      </w:r>
      <w:r w:rsidRPr="002D1C18">
        <w:rPr>
          <w:rFonts w:ascii="仿宋_GB2312" w:eastAsia="仿宋_GB2312" w:hAnsi="仿宋_GB2312" w:cs="仿宋_GB2312" w:hint="eastAsia"/>
          <w:color w:val="000000"/>
          <w:kern w:val="0"/>
          <w:sz w:val="30"/>
          <w:szCs w:val="30"/>
        </w:rPr>
        <w:t>。</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三、监事会的构成及其工作情况</w:t>
      </w:r>
    </w:p>
    <w:p w:rsidR="001B4A8E" w:rsidRDefault="0045011A" w:rsidP="001B4A8E">
      <w:pPr>
        <w:numPr>
          <w:ilvl w:val="0"/>
          <w:numId w:val="1"/>
        </w:numPr>
        <w:spacing w:line="560" w:lineRule="exact"/>
        <w:ind w:left="0"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监事会成员基本情况</w:t>
      </w:r>
    </w:p>
    <w:p w:rsidR="0045011A" w:rsidRPr="001B4A8E" w:rsidRDefault="0045011A" w:rsidP="001B4A8E">
      <w:pPr>
        <w:spacing w:line="560" w:lineRule="exact"/>
        <w:ind w:left="600"/>
        <w:rPr>
          <w:rFonts w:ascii="仿宋_GB2312" w:eastAsia="仿宋_GB2312" w:hAnsi="仿宋_GB2312" w:cs="仿宋_GB2312"/>
          <w:color w:val="000000"/>
          <w:kern w:val="0"/>
          <w:sz w:val="30"/>
          <w:szCs w:val="30"/>
        </w:rPr>
      </w:pPr>
      <w:r w:rsidRPr="001B4A8E">
        <w:rPr>
          <w:rFonts w:ascii="仿宋_GB2312" w:eastAsia="仿宋_GB2312" w:hAnsi="仿宋_GB2312" w:cs="仿宋_GB2312" w:hint="eastAsia"/>
          <w:color w:val="000000"/>
          <w:kern w:val="0"/>
          <w:sz w:val="30"/>
          <w:szCs w:val="30"/>
        </w:rPr>
        <w:t xml:space="preserve">                               </w:t>
      </w:r>
    </w:p>
    <w:tbl>
      <w:tblPr>
        <w:tblW w:w="85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20"/>
        <w:gridCol w:w="713"/>
        <w:gridCol w:w="567"/>
        <w:gridCol w:w="850"/>
        <w:gridCol w:w="567"/>
        <w:gridCol w:w="4111"/>
        <w:gridCol w:w="992"/>
      </w:tblGrid>
      <w:tr w:rsidR="0045011A" w:rsidTr="0045011A">
        <w:trPr>
          <w:trHeight w:val="50"/>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职务</w:t>
            </w:r>
          </w:p>
        </w:tc>
        <w:tc>
          <w:tcPr>
            <w:tcW w:w="713"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567"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性别</w:t>
            </w:r>
          </w:p>
        </w:tc>
        <w:tc>
          <w:tcPr>
            <w:tcW w:w="850"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出生年月</w:t>
            </w:r>
          </w:p>
        </w:tc>
        <w:tc>
          <w:tcPr>
            <w:tcW w:w="567"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学历</w:t>
            </w:r>
          </w:p>
        </w:tc>
        <w:tc>
          <w:tcPr>
            <w:tcW w:w="4111"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任职单位及职务</w:t>
            </w:r>
          </w:p>
        </w:tc>
        <w:tc>
          <w:tcPr>
            <w:tcW w:w="992"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持有股份（股）</w:t>
            </w:r>
          </w:p>
        </w:tc>
      </w:tr>
      <w:tr w:rsidR="000C0121" w:rsidTr="0045011A">
        <w:trPr>
          <w:trHeight w:val="65"/>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0C0121" w:rsidRDefault="000C0121" w:rsidP="0045011A">
            <w:pPr>
              <w:spacing w:line="400" w:lineRule="exact"/>
              <w:jc w:val="center"/>
              <w:rPr>
                <w:rFonts w:ascii="宋体" w:hAnsi="宋体" w:cs="宋体"/>
                <w:color w:val="000000"/>
                <w:sz w:val="18"/>
                <w:szCs w:val="18"/>
              </w:rPr>
            </w:pPr>
            <w:r>
              <w:rPr>
                <w:rFonts w:ascii="宋体" w:hAnsi="宋体" w:cs="宋体" w:hint="eastAsia"/>
                <w:color w:val="000000"/>
                <w:sz w:val="18"/>
                <w:szCs w:val="18"/>
              </w:rPr>
              <w:t>监事长</w:t>
            </w:r>
          </w:p>
        </w:tc>
        <w:tc>
          <w:tcPr>
            <w:tcW w:w="713"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王伟芬</w:t>
            </w:r>
          </w:p>
        </w:tc>
        <w:tc>
          <w:tcPr>
            <w:tcW w:w="567"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女</w:t>
            </w:r>
          </w:p>
        </w:tc>
        <w:tc>
          <w:tcPr>
            <w:tcW w:w="850"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1976.01</w:t>
            </w:r>
          </w:p>
        </w:tc>
        <w:tc>
          <w:tcPr>
            <w:tcW w:w="567"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本科</w:t>
            </w:r>
          </w:p>
        </w:tc>
        <w:tc>
          <w:tcPr>
            <w:tcW w:w="4111"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浙江德清农村商业银行股份有限公司村镇银行管理部审计科科长</w:t>
            </w:r>
          </w:p>
        </w:tc>
        <w:tc>
          <w:tcPr>
            <w:tcW w:w="992"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0</w:t>
            </w:r>
          </w:p>
        </w:tc>
      </w:tr>
      <w:tr w:rsidR="000C0121" w:rsidTr="0045011A">
        <w:trPr>
          <w:trHeight w:val="65"/>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0C0121" w:rsidRDefault="000C0121" w:rsidP="0045011A">
            <w:pPr>
              <w:spacing w:line="400" w:lineRule="exact"/>
              <w:ind w:firstLineChars="50" w:firstLine="90"/>
              <w:rPr>
                <w:rFonts w:ascii="宋体" w:hAnsi="宋体" w:cs="宋体"/>
                <w:color w:val="000000"/>
                <w:sz w:val="18"/>
                <w:szCs w:val="18"/>
              </w:rPr>
            </w:pPr>
            <w:r>
              <w:rPr>
                <w:rFonts w:ascii="宋体" w:hAnsi="宋体" w:cs="宋体" w:hint="eastAsia"/>
                <w:color w:val="000000"/>
                <w:sz w:val="18"/>
                <w:szCs w:val="18"/>
              </w:rPr>
              <w:t>监事</w:t>
            </w:r>
          </w:p>
        </w:tc>
        <w:tc>
          <w:tcPr>
            <w:tcW w:w="713"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张全发</w:t>
            </w:r>
          </w:p>
        </w:tc>
        <w:tc>
          <w:tcPr>
            <w:tcW w:w="567"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男</w:t>
            </w:r>
          </w:p>
        </w:tc>
        <w:tc>
          <w:tcPr>
            <w:tcW w:w="850"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1962.11</w:t>
            </w:r>
          </w:p>
        </w:tc>
        <w:tc>
          <w:tcPr>
            <w:tcW w:w="567"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大专</w:t>
            </w:r>
          </w:p>
        </w:tc>
        <w:tc>
          <w:tcPr>
            <w:tcW w:w="4111"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天津春晖鑫隆商贸有限公司执行董事</w:t>
            </w:r>
          </w:p>
        </w:tc>
        <w:tc>
          <w:tcPr>
            <w:tcW w:w="992" w:type="dxa"/>
            <w:tcBorders>
              <w:top w:val="outset" w:sz="6" w:space="0" w:color="auto"/>
              <w:left w:val="outset" w:sz="6" w:space="0" w:color="auto"/>
              <w:bottom w:val="outset" w:sz="6" w:space="0" w:color="auto"/>
              <w:right w:val="outset" w:sz="6" w:space="0" w:color="auto"/>
            </w:tcBorders>
            <w:vAlign w:val="center"/>
          </w:tcPr>
          <w:p w:rsidR="000C0121" w:rsidRPr="000C0121" w:rsidRDefault="0015160F" w:rsidP="000C0121">
            <w:pPr>
              <w:spacing w:line="400" w:lineRule="exact"/>
              <w:jc w:val="center"/>
              <w:rPr>
                <w:rFonts w:ascii="宋体" w:hAnsi="宋体" w:cs="宋体"/>
                <w:color w:val="000000"/>
                <w:sz w:val="18"/>
                <w:szCs w:val="18"/>
              </w:rPr>
            </w:pPr>
            <w:r>
              <w:rPr>
                <w:rFonts w:ascii="宋体" w:hAnsi="宋体" w:cs="宋体" w:hint="eastAsia"/>
                <w:color w:val="000000"/>
                <w:sz w:val="18"/>
                <w:szCs w:val="18"/>
              </w:rPr>
              <w:t>0</w:t>
            </w:r>
          </w:p>
        </w:tc>
      </w:tr>
      <w:tr w:rsidR="000C0121" w:rsidTr="0045011A">
        <w:trPr>
          <w:trHeight w:val="380"/>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0C0121" w:rsidRDefault="000C0121" w:rsidP="0045011A">
            <w:pPr>
              <w:spacing w:line="400" w:lineRule="exact"/>
              <w:ind w:firstLineChars="50" w:firstLine="90"/>
              <w:rPr>
                <w:rFonts w:ascii="宋体" w:hAnsi="宋体" w:cs="宋体"/>
                <w:color w:val="000000"/>
                <w:sz w:val="18"/>
                <w:szCs w:val="18"/>
              </w:rPr>
            </w:pPr>
            <w:r>
              <w:rPr>
                <w:rFonts w:ascii="宋体" w:hAnsi="宋体" w:cs="宋体" w:hint="eastAsia"/>
                <w:color w:val="000000"/>
                <w:sz w:val="18"/>
                <w:szCs w:val="18"/>
              </w:rPr>
              <w:t>监事</w:t>
            </w:r>
          </w:p>
        </w:tc>
        <w:tc>
          <w:tcPr>
            <w:tcW w:w="713"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穆大卫</w:t>
            </w:r>
          </w:p>
        </w:tc>
        <w:tc>
          <w:tcPr>
            <w:tcW w:w="567"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男</w:t>
            </w:r>
          </w:p>
        </w:tc>
        <w:tc>
          <w:tcPr>
            <w:tcW w:w="850"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1982.01</w:t>
            </w:r>
          </w:p>
        </w:tc>
        <w:tc>
          <w:tcPr>
            <w:tcW w:w="567"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本科</w:t>
            </w:r>
          </w:p>
        </w:tc>
        <w:tc>
          <w:tcPr>
            <w:tcW w:w="4111" w:type="dxa"/>
            <w:tcBorders>
              <w:top w:val="outset" w:sz="6" w:space="0" w:color="auto"/>
              <w:left w:val="outset" w:sz="6" w:space="0" w:color="auto"/>
              <w:bottom w:val="outset" w:sz="6" w:space="0" w:color="auto"/>
              <w:right w:val="outset" w:sz="6" w:space="0" w:color="auto"/>
            </w:tcBorders>
            <w:vAlign w:val="center"/>
          </w:tcPr>
          <w:p w:rsidR="000C0121" w:rsidRPr="000C0121" w:rsidRDefault="000C0121" w:rsidP="000C0121">
            <w:pPr>
              <w:spacing w:line="400" w:lineRule="exact"/>
              <w:jc w:val="center"/>
              <w:rPr>
                <w:rFonts w:ascii="宋体" w:hAnsi="宋体" w:cs="宋体"/>
                <w:color w:val="000000"/>
                <w:sz w:val="18"/>
                <w:szCs w:val="18"/>
              </w:rPr>
            </w:pPr>
            <w:r w:rsidRPr="000C0121">
              <w:rPr>
                <w:rFonts w:ascii="宋体" w:hAnsi="宋体" w:cs="宋体" w:hint="eastAsia"/>
                <w:color w:val="000000"/>
                <w:sz w:val="18"/>
                <w:szCs w:val="18"/>
              </w:rPr>
              <w:t>天津滨海德商村镇银行综合管理部总经理</w:t>
            </w:r>
          </w:p>
        </w:tc>
        <w:tc>
          <w:tcPr>
            <w:tcW w:w="992" w:type="dxa"/>
            <w:tcBorders>
              <w:top w:val="outset" w:sz="6" w:space="0" w:color="auto"/>
              <w:left w:val="outset" w:sz="6" w:space="0" w:color="auto"/>
              <w:bottom w:val="outset" w:sz="6" w:space="0" w:color="auto"/>
              <w:right w:val="outset" w:sz="6" w:space="0" w:color="auto"/>
            </w:tcBorders>
            <w:vAlign w:val="center"/>
          </w:tcPr>
          <w:p w:rsidR="000C0121" w:rsidRPr="000C0121" w:rsidRDefault="00F22963" w:rsidP="000C0121">
            <w:pPr>
              <w:spacing w:line="400" w:lineRule="exact"/>
              <w:jc w:val="center"/>
              <w:rPr>
                <w:rFonts w:ascii="宋体" w:hAnsi="宋体" w:cs="宋体"/>
                <w:color w:val="000000"/>
                <w:sz w:val="18"/>
                <w:szCs w:val="18"/>
              </w:rPr>
            </w:pPr>
            <w:r>
              <w:rPr>
                <w:rFonts w:ascii="宋体" w:hAnsi="宋体" w:cs="宋体" w:hint="eastAsia"/>
                <w:color w:val="000000"/>
                <w:sz w:val="18"/>
                <w:szCs w:val="18"/>
              </w:rPr>
              <w:t>0</w:t>
            </w:r>
          </w:p>
        </w:tc>
      </w:tr>
    </w:tbl>
    <w:p w:rsidR="0045011A" w:rsidRDefault="0045011A" w:rsidP="0045011A">
      <w:pPr>
        <w:numPr>
          <w:ilvl w:val="0"/>
          <w:numId w:val="1"/>
        </w:numPr>
        <w:spacing w:line="560" w:lineRule="exact"/>
        <w:ind w:left="0"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监事会工作情况</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1.监事会会议召开情况</w:t>
      </w:r>
    </w:p>
    <w:p w:rsidR="0045011A" w:rsidRDefault="0045011A" w:rsidP="0045011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报告期内，本行共召开监事会</w:t>
      </w:r>
      <w:r w:rsidR="00E248CE">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次，其中例会</w:t>
      </w:r>
      <w:r w:rsidR="00E248CE">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次、临时会议1次。</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（1）本行于2019年</w:t>
      </w:r>
      <w:r w:rsidR="008C323D">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sidR="008C323D">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日召开第</w:t>
      </w:r>
      <w:r w:rsidR="008C323D">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届监事会第</w:t>
      </w:r>
      <w:r w:rsidR="008C323D">
        <w:rPr>
          <w:rFonts w:ascii="仿宋_GB2312" w:eastAsia="仿宋_GB2312" w:hAnsi="仿宋_GB2312" w:cs="仿宋_GB2312" w:hint="eastAsia"/>
          <w:sz w:val="30"/>
          <w:szCs w:val="30"/>
        </w:rPr>
        <w:t>四</w:t>
      </w:r>
      <w:r>
        <w:rPr>
          <w:rFonts w:ascii="仿宋_GB2312" w:eastAsia="仿宋_GB2312" w:hAnsi="仿宋_GB2312" w:cs="仿宋_GB2312" w:hint="eastAsia"/>
          <w:sz w:val="30"/>
          <w:szCs w:val="30"/>
        </w:rPr>
        <w:t>次会议，会议</w:t>
      </w:r>
      <w:r w:rsidR="008C323D">
        <w:rPr>
          <w:rFonts w:ascii="仿宋_GB2312" w:eastAsia="仿宋_GB2312" w:hAnsi="仿宋_GB2312" w:cs="仿宋_GB2312" w:hint="eastAsia"/>
          <w:sz w:val="30"/>
          <w:szCs w:val="30"/>
        </w:rPr>
        <w:t>审议通过了</w:t>
      </w:r>
      <w:r>
        <w:rPr>
          <w:rFonts w:ascii="仿宋_GB2312" w:eastAsia="仿宋_GB2312" w:hAnsi="仿宋_GB2312" w:cs="仿宋_GB2312" w:hint="eastAsia"/>
          <w:sz w:val="30"/>
          <w:szCs w:val="30"/>
        </w:rPr>
        <w:t>《</w:t>
      </w:r>
      <w:r w:rsidR="008C323D" w:rsidRPr="008C323D">
        <w:rPr>
          <w:rFonts w:ascii="仿宋_GB2312" w:eastAsia="仿宋_GB2312" w:hAnsi="仿宋_GB2312" w:cs="仿宋_GB2312" w:hint="eastAsia"/>
          <w:sz w:val="30"/>
          <w:szCs w:val="30"/>
        </w:rPr>
        <w:t>天津滨海德商村镇银行股份有限公司监事会关于</w:t>
      </w:r>
      <w:r w:rsidR="008C323D" w:rsidRPr="008C323D">
        <w:rPr>
          <w:rFonts w:ascii="仿宋_GB2312" w:eastAsia="仿宋_GB2312" w:hAnsi="仿宋_GB2312" w:cs="仿宋_GB2312" w:hint="eastAsia"/>
          <w:sz w:val="30"/>
          <w:szCs w:val="30"/>
        </w:rPr>
        <w:lastRenderedPageBreak/>
        <w:t>2018年度监事履职评价的报告（草案）</w:t>
      </w:r>
      <w:r>
        <w:rPr>
          <w:rFonts w:ascii="仿宋_GB2312" w:eastAsia="仿宋_GB2312" w:hAnsi="仿宋_GB2312" w:cs="仿宋_GB2312" w:hint="eastAsia"/>
          <w:sz w:val="30"/>
          <w:szCs w:val="30"/>
        </w:rPr>
        <w:t>》</w:t>
      </w:r>
      <w:r w:rsidR="008C323D">
        <w:rPr>
          <w:rFonts w:ascii="仿宋_GB2312" w:eastAsia="仿宋_GB2312" w:hAnsi="仿宋_GB2312" w:cs="仿宋_GB2312" w:hint="eastAsia"/>
          <w:sz w:val="30"/>
          <w:szCs w:val="30"/>
        </w:rPr>
        <w:t>。</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（2）本行于2019年</w:t>
      </w:r>
      <w:r w:rsidR="00C33BF0">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月</w:t>
      </w:r>
      <w:r w:rsidR="00C33BF0">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日召开第</w:t>
      </w:r>
      <w:r w:rsidR="00C33BF0">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届监事会第</w:t>
      </w:r>
      <w:r w:rsidR="00C33BF0">
        <w:rPr>
          <w:rFonts w:ascii="仿宋_GB2312" w:eastAsia="仿宋_GB2312" w:hAnsi="仿宋_GB2312" w:cs="仿宋_GB2312" w:hint="eastAsia"/>
          <w:sz w:val="30"/>
          <w:szCs w:val="30"/>
        </w:rPr>
        <w:t>五</w:t>
      </w:r>
      <w:r>
        <w:rPr>
          <w:rFonts w:ascii="仿宋_GB2312" w:eastAsia="仿宋_GB2312" w:hAnsi="仿宋_GB2312" w:cs="仿宋_GB2312" w:hint="eastAsia"/>
          <w:sz w:val="30"/>
          <w:szCs w:val="30"/>
        </w:rPr>
        <w:t>次会议，审议通过了《</w:t>
      </w:r>
      <w:r w:rsidR="00C33BF0" w:rsidRPr="00C33BF0">
        <w:rPr>
          <w:rFonts w:ascii="仿宋_GB2312" w:eastAsia="仿宋_GB2312" w:hAnsi="仿宋_GB2312" w:cs="仿宋_GB2312" w:hint="eastAsia"/>
          <w:sz w:val="30"/>
          <w:szCs w:val="30"/>
        </w:rPr>
        <w:t>天津滨海德商村镇银行股份有限公司监事会关于</w:t>
      </w:r>
      <w:r w:rsidR="00C33BF0" w:rsidRPr="00C33BF0">
        <w:rPr>
          <w:rFonts w:ascii="仿宋_GB2312" w:eastAsia="仿宋_GB2312" w:hAnsi="仿宋_GB2312" w:cs="仿宋_GB2312"/>
          <w:sz w:val="30"/>
          <w:szCs w:val="30"/>
        </w:rPr>
        <w:t>201</w:t>
      </w:r>
      <w:r w:rsidR="00C33BF0" w:rsidRPr="00C33BF0">
        <w:rPr>
          <w:rFonts w:ascii="仿宋_GB2312" w:eastAsia="仿宋_GB2312" w:hAnsi="仿宋_GB2312" w:cs="仿宋_GB2312" w:hint="eastAsia"/>
          <w:sz w:val="30"/>
          <w:szCs w:val="30"/>
        </w:rPr>
        <w:t>8年度董事履职评价的报告（草案）</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w:t>
      </w:r>
      <w:r w:rsidR="00C33BF0" w:rsidRPr="00C33BF0">
        <w:rPr>
          <w:rFonts w:ascii="仿宋_GB2312" w:eastAsia="仿宋_GB2312" w:hAnsi="仿宋_GB2312" w:cs="仿宋_GB2312" w:hint="eastAsia"/>
          <w:color w:val="000000"/>
          <w:kern w:val="0"/>
          <w:sz w:val="30"/>
          <w:szCs w:val="30"/>
        </w:rPr>
        <w:t>天津滨海德商村镇银行股份有限公司监事会关于</w:t>
      </w:r>
      <w:r w:rsidR="00C33BF0" w:rsidRPr="00C33BF0">
        <w:rPr>
          <w:rFonts w:ascii="仿宋_GB2312" w:eastAsia="仿宋_GB2312" w:hAnsi="仿宋_GB2312" w:cs="仿宋_GB2312"/>
          <w:color w:val="000000"/>
          <w:kern w:val="0"/>
          <w:sz w:val="30"/>
          <w:szCs w:val="30"/>
        </w:rPr>
        <w:t>201</w:t>
      </w:r>
      <w:r w:rsidR="00C33BF0" w:rsidRPr="00C33BF0">
        <w:rPr>
          <w:rFonts w:ascii="仿宋_GB2312" w:eastAsia="仿宋_GB2312" w:hAnsi="仿宋_GB2312" w:cs="仿宋_GB2312" w:hint="eastAsia"/>
          <w:color w:val="000000"/>
          <w:kern w:val="0"/>
          <w:sz w:val="30"/>
          <w:szCs w:val="30"/>
        </w:rPr>
        <w:t>8年度高级管理人员履职评价的报告（草案）</w:t>
      </w:r>
      <w:r>
        <w:rPr>
          <w:rFonts w:ascii="仿宋_GB2312" w:eastAsia="仿宋_GB2312" w:hAnsi="仿宋_GB2312" w:cs="仿宋_GB2312" w:hint="eastAsia"/>
          <w:color w:val="000000"/>
          <w:kern w:val="0"/>
          <w:sz w:val="30"/>
          <w:szCs w:val="30"/>
        </w:rPr>
        <w:t>》、《</w:t>
      </w:r>
      <w:r w:rsidR="004E7BD1" w:rsidRPr="004E7BD1">
        <w:rPr>
          <w:rFonts w:ascii="仿宋_GB2312" w:eastAsia="仿宋_GB2312" w:hAnsi="仿宋_GB2312" w:cs="仿宋_GB2312" w:hint="eastAsia"/>
          <w:color w:val="000000"/>
          <w:kern w:val="0"/>
          <w:sz w:val="30"/>
          <w:szCs w:val="30"/>
        </w:rPr>
        <w:t>天津滨海德商村镇银行股份有限公司2018年度监事会工作报告（草案）</w:t>
      </w:r>
      <w:r>
        <w:rPr>
          <w:rFonts w:ascii="仿宋_GB2312" w:eastAsia="仿宋_GB2312" w:hAnsi="仿宋_GB2312" w:cs="仿宋_GB2312" w:hint="eastAsia"/>
          <w:color w:val="000000"/>
          <w:kern w:val="0"/>
          <w:sz w:val="30"/>
          <w:szCs w:val="30"/>
        </w:rPr>
        <w:t>》等</w:t>
      </w:r>
      <w:r w:rsidR="004E7BD1">
        <w:rPr>
          <w:rFonts w:ascii="仿宋_GB2312" w:eastAsia="仿宋_GB2312" w:hAnsi="仿宋_GB2312" w:cs="仿宋_GB2312" w:hint="eastAsia"/>
          <w:color w:val="000000"/>
          <w:kern w:val="0"/>
          <w:sz w:val="30"/>
          <w:szCs w:val="30"/>
        </w:rPr>
        <w:t>5项</w:t>
      </w:r>
      <w:r>
        <w:rPr>
          <w:rFonts w:ascii="仿宋_GB2312" w:eastAsia="仿宋_GB2312" w:hAnsi="仿宋_GB2312" w:cs="仿宋_GB2312" w:hint="eastAsia"/>
          <w:color w:val="000000"/>
          <w:kern w:val="0"/>
          <w:sz w:val="30"/>
          <w:szCs w:val="30"/>
        </w:rPr>
        <w:t>议案</w:t>
      </w:r>
      <w:r w:rsidR="00BC605D">
        <w:rPr>
          <w:rFonts w:ascii="仿宋_GB2312" w:eastAsia="仿宋_GB2312" w:hAnsi="仿宋_GB2312" w:cs="仿宋_GB2312" w:hint="eastAsia"/>
          <w:color w:val="000000"/>
          <w:kern w:val="0"/>
          <w:sz w:val="30"/>
          <w:szCs w:val="30"/>
        </w:rPr>
        <w:t>。</w:t>
      </w:r>
    </w:p>
    <w:p w:rsidR="0045011A" w:rsidRDefault="0045011A" w:rsidP="0045011A">
      <w:pPr>
        <w:spacing w:line="56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color w:val="000000"/>
          <w:kern w:val="0"/>
          <w:sz w:val="30"/>
          <w:szCs w:val="30"/>
        </w:rPr>
        <w:t>（3）</w:t>
      </w:r>
      <w:r w:rsidR="00BC605D">
        <w:rPr>
          <w:rFonts w:ascii="仿宋_GB2312" w:eastAsia="仿宋_GB2312" w:hAnsi="仿宋_GB2312" w:cs="仿宋_GB2312" w:hint="eastAsia"/>
          <w:sz w:val="30"/>
          <w:szCs w:val="30"/>
        </w:rPr>
        <w:t>本行于2019年5月10日召开第二届监事会</w:t>
      </w:r>
      <w:r w:rsidR="00BC605D" w:rsidRPr="00BC605D">
        <w:rPr>
          <w:rFonts w:ascii="仿宋_GB2312" w:eastAsia="仿宋_GB2312" w:hAnsi="仿宋_GB2312" w:cs="仿宋_GB2312" w:hint="eastAsia"/>
          <w:sz w:val="30"/>
          <w:szCs w:val="30"/>
        </w:rPr>
        <w:t>2019年第一次临时会议</w:t>
      </w:r>
      <w:r w:rsidR="00BC605D">
        <w:rPr>
          <w:rFonts w:ascii="仿宋_GB2312" w:eastAsia="仿宋_GB2312" w:hAnsi="仿宋_GB2312" w:cs="仿宋_GB2312" w:hint="eastAsia"/>
          <w:sz w:val="30"/>
          <w:szCs w:val="30"/>
        </w:rPr>
        <w:t>，会议</w:t>
      </w:r>
      <w:r w:rsidR="00BC605D" w:rsidRPr="00BC605D">
        <w:rPr>
          <w:rFonts w:ascii="仿宋_GB2312" w:eastAsia="仿宋_GB2312" w:hAnsi="仿宋_GB2312" w:cs="仿宋_GB2312" w:hint="eastAsia"/>
          <w:bCs/>
          <w:sz w:val="30"/>
          <w:szCs w:val="30"/>
        </w:rPr>
        <w:t>选举天津滨海德商村镇银行股份有限公司监事长</w:t>
      </w:r>
      <w:r w:rsidR="00BC605D">
        <w:rPr>
          <w:rFonts w:ascii="仿宋_GB2312" w:eastAsia="仿宋_GB2312" w:hAnsi="仿宋_GB2312" w:cs="仿宋_GB2312" w:hint="eastAsia"/>
          <w:bCs/>
          <w:sz w:val="30"/>
          <w:szCs w:val="30"/>
        </w:rPr>
        <w:t>。</w:t>
      </w:r>
    </w:p>
    <w:p w:rsidR="007B1092" w:rsidRDefault="007B1092" w:rsidP="007B1092">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（4）本行于2019年8月16日召开第二届监事会第六次会议，审议通过了《</w:t>
      </w:r>
      <w:r w:rsidRPr="007B1092">
        <w:rPr>
          <w:rFonts w:ascii="仿宋_GB2312" w:eastAsia="仿宋_GB2312" w:hAnsi="仿宋_GB2312" w:cs="仿宋_GB2312" w:hint="eastAsia"/>
          <w:sz w:val="30"/>
          <w:szCs w:val="30"/>
        </w:rPr>
        <w:t>天津滨海德商村镇银行股份有限公司2019年半年度监事会工作报告（草案）</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w:t>
      </w:r>
    </w:p>
    <w:p w:rsidR="007B1092" w:rsidRPr="007B1092" w:rsidRDefault="00D5053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（5）本行于2019年12月3日召开第二届监事会第七次会议，审议通过了《</w:t>
      </w:r>
      <w:r w:rsidRPr="00D5053A">
        <w:rPr>
          <w:rFonts w:ascii="仿宋_GB2312" w:eastAsia="仿宋_GB2312" w:hAnsi="仿宋_GB2312" w:cs="仿宋_GB2312" w:hint="eastAsia"/>
          <w:sz w:val="30"/>
          <w:szCs w:val="30"/>
        </w:rPr>
        <w:t>天津滨海德商村镇银行监事会对董事、监事和高管人员履职评价办法（草案）</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kern w:val="0"/>
          <w:sz w:val="30"/>
          <w:szCs w:val="30"/>
        </w:rPr>
        <w:t>《</w:t>
      </w:r>
      <w:r w:rsidRPr="00D5053A">
        <w:rPr>
          <w:rFonts w:ascii="仿宋_GB2312" w:eastAsia="仿宋_GB2312" w:hAnsi="仿宋_GB2312" w:cs="仿宋_GB2312" w:hint="eastAsia"/>
          <w:color w:val="000000"/>
          <w:kern w:val="0"/>
          <w:sz w:val="30"/>
          <w:szCs w:val="30"/>
        </w:rPr>
        <w:t>天津滨海德商村镇银行股份有限公司监事会对董事、监事、高管履职评价实施细则（草案）</w:t>
      </w:r>
      <w:r>
        <w:rPr>
          <w:rFonts w:ascii="仿宋_GB2312" w:eastAsia="仿宋_GB2312" w:hAnsi="仿宋_GB2312" w:cs="仿宋_GB2312" w:hint="eastAsia"/>
          <w:color w:val="000000"/>
          <w:kern w:val="0"/>
          <w:sz w:val="30"/>
          <w:szCs w:val="30"/>
        </w:rPr>
        <w:t>》2项议案。</w:t>
      </w:r>
    </w:p>
    <w:p w:rsidR="0045011A" w:rsidRPr="002D1C18"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2．监事会发表的独立意见</w:t>
      </w:r>
    </w:p>
    <w:p w:rsidR="0045011A" w:rsidRPr="002D1C18"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报告期内，为维护股东和员工的利益，监事会根据《公司法》及本行章程有关规定，对财务状况及董事、高级管理层人员履职情况进行了监督。具体情况如下：</w:t>
      </w:r>
    </w:p>
    <w:p w:rsidR="0045011A" w:rsidRPr="002D1C18"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（1）监督本行依法经营情况</w:t>
      </w:r>
    </w:p>
    <w:p w:rsidR="0045011A" w:rsidRPr="002D1C18"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报告期内，</w:t>
      </w:r>
      <w:r w:rsidR="004A766E">
        <w:rPr>
          <w:rFonts w:ascii="仿宋_GB2312" w:eastAsia="仿宋_GB2312" w:hAnsi="仿宋_GB2312" w:cs="仿宋_GB2312" w:hint="eastAsia"/>
          <w:color w:val="000000"/>
          <w:kern w:val="0"/>
          <w:sz w:val="30"/>
          <w:szCs w:val="30"/>
        </w:rPr>
        <w:t>天津滨海</w:t>
      </w:r>
      <w:r>
        <w:rPr>
          <w:rFonts w:ascii="仿宋_GB2312" w:eastAsia="仿宋_GB2312" w:hAnsi="仿宋_GB2312" w:cs="仿宋_GB2312" w:hint="eastAsia"/>
          <w:color w:val="000000"/>
          <w:kern w:val="0"/>
          <w:sz w:val="30"/>
          <w:szCs w:val="30"/>
        </w:rPr>
        <w:t>德商村镇银行</w:t>
      </w:r>
      <w:r w:rsidRPr="002D1C18">
        <w:rPr>
          <w:rFonts w:ascii="仿宋_GB2312" w:eastAsia="仿宋_GB2312" w:hAnsi="仿宋_GB2312" w:cs="仿宋_GB2312" w:hint="eastAsia"/>
          <w:color w:val="000000"/>
          <w:kern w:val="0"/>
          <w:sz w:val="30"/>
          <w:szCs w:val="30"/>
        </w:rPr>
        <w:t>依法经营，规范管理，经营</w:t>
      </w:r>
      <w:r w:rsidRPr="002D1C18">
        <w:rPr>
          <w:rFonts w:ascii="仿宋_GB2312" w:eastAsia="仿宋_GB2312" w:hAnsi="仿宋_GB2312" w:cs="仿宋_GB2312" w:hint="eastAsia"/>
          <w:color w:val="000000"/>
          <w:kern w:val="0"/>
          <w:sz w:val="30"/>
          <w:szCs w:val="30"/>
        </w:rPr>
        <w:lastRenderedPageBreak/>
        <w:t>业绩客观真实，决策程序合法有效，没有发现董事、经营管理层在履行职责时有违反法律、法规、本行章程或损害股东利益的行为。</w:t>
      </w:r>
    </w:p>
    <w:p w:rsidR="0045011A" w:rsidRPr="002D1C18"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w:t>
      </w:r>
      <w:r w:rsidR="004F257D">
        <w:rPr>
          <w:rFonts w:ascii="仿宋_GB2312" w:eastAsia="仿宋_GB2312" w:hAnsi="仿宋_GB2312" w:cs="仿宋_GB2312" w:hint="eastAsia"/>
          <w:color w:val="000000"/>
          <w:kern w:val="0"/>
          <w:sz w:val="30"/>
          <w:szCs w:val="30"/>
        </w:rPr>
        <w:t>2</w:t>
      </w:r>
      <w:r w:rsidRPr="002D1C18">
        <w:rPr>
          <w:rFonts w:ascii="仿宋_GB2312" w:eastAsia="仿宋_GB2312" w:hAnsi="仿宋_GB2312" w:cs="仿宋_GB2312" w:hint="eastAsia"/>
          <w:color w:val="000000"/>
          <w:kern w:val="0"/>
          <w:sz w:val="30"/>
          <w:szCs w:val="30"/>
        </w:rPr>
        <w:t>）股东大会决议执行情况</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sidRPr="002D1C18">
        <w:rPr>
          <w:rFonts w:ascii="仿宋_GB2312" w:eastAsia="仿宋_GB2312" w:hAnsi="仿宋_GB2312" w:cs="仿宋_GB2312" w:hint="eastAsia"/>
          <w:color w:val="000000"/>
          <w:kern w:val="0"/>
          <w:sz w:val="30"/>
          <w:szCs w:val="30"/>
        </w:rPr>
        <w:t>报告期内，监事会对董事会提交股东大会审议的各类报告和提案没有异议，认为董事会认真履行了股东大会的有关决议。</w:t>
      </w:r>
    </w:p>
    <w:p w:rsidR="0045011A" w:rsidRDefault="0045011A" w:rsidP="0045011A">
      <w:pPr>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四、经营管理层成员构成及其工作情况</w:t>
      </w:r>
    </w:p>
    <w:p w:rsidR="0045011A" w:rsidRDefault="0045011A" w:rsidP="0045011A">
      <w:pPr>
        <w:spacing w:line="3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（三）高级管理人员</w:t>
      </w:r>
    </w:p>
    <w:tbl>
      <w:tblPr>
        <w:tblW w:w="9206"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01"/>
        <w:gridCol w:w="796"/>
        <w:gridCol w:w="502"/>
        <w:gridCol w:w="808"/>
        <w:gridCol w:w="604"/>
        <w:gridCol w:w="4803"/>
        <w:gridCol w:w="992"/>
      </w:tblGrid>
      <w:tr w:rsidR="0045011A" w:rsidTr="0045011A">
        <w:trPr>
          <w:trHeight w:val="93"/>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职务</w:t>
            </w:r>
          </w:p>
        </w:tc>
        <w:tc>
          <w:tcPr>
            <w:tcW w:w="796"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姓名</w:t>
            </w:r>
          </w:p>
        </w:tc>
        <w:tc>
          <w:tcPr>
            <w:tcW w:w="502"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性别</w:t>
            </w:r>
          </w:p>
        </w:tc>
        <w:tc>
          <w:tcPr>
            <w:tcW w:w="808"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出生年月</w:t>
            </w:r>
          </w:p>
        </w:tc>
        <w:tc>
          <w:tcPr>
            <w:tcW w:w="604"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学历</w:t>
            </w:r>
          </w:p>
        </w:tc>
        <w:tc>
          <w:tcPr>
            <w:tcW w:w="4803"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责任分工</w:t>
            </w:r>
          </w:p>
        </w:tc>
        <w:tc>
          <w:tcPr>
            <w:tcW w:w="992" w:type="dxa"/>
            <w:tcBorders>
              <w:top w:val="outset" w:sz="6" w:space="0" w:color="auto"/>
              <w:left w:val="outset" w:sz="6" w:space="0" w:color="auto"/>
              <w:bottom w:val="outset" w:sz="6" w:space="0" w:color="auto"/>
              <w:right w:val="outset" w:sz="6" w:space="0" w:color="auto"/>
            </w:tcBorders>
            <w:vAlign w:val="center"/>
          </w:tcPr>
          <w:p w:rsidR="0045011A" w:rsidRDefault="0045011A" w:rsidP="0045011A">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持有股份（股）</w:t>
            </w:r>
          </w:p>
        </w:tc>
      </w:tr>
      <w:tr w:rsidR="00573484" w:rsidTr="0045011A">
        <w:trPr>
          <w:trHeight w:val="347"/>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行长</w:t>
            </w:r>
          </w:p>
        </w:tc>
        <w:tc>
          <w:tcPr>
            <w:tcW w:w="796"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吴力宏</w:t>
            </w:r>
          </w:p>
        </w:tc>
        <w:tc>
          <w:tcPr>
            <w:tcW w:w="50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rPr>
                <w:rFonts w:ascii="宋体" w:hAnsi="宋体" w:cs="宋体"/>
                <w:color w:val="000000"/>
                <w:kern w:val="0"/>
                <w:sz w:val="18"/>
                <w:szCs w:val="18"/>
              </w:rPr>
            </w:pPr>
            <w:r w:rsidRPr="00573484">
              <w:rPr>
                <w:rFonts w:ascii="宋体" w:hAnsi="宋体" w:cs="宋体" w:hint="eastAsia"/>
                <w:color w:val="000000"/>
                <w:kern w:val="0"/>
                <w:sz w:val="18"/>
                <w:szCs w:val="18"/>
              </w:rPr>
              <w:t>男</w:t>
            </w:r>
          </w:p>
        </w:tc>
        <w:tc>
          <w:tcPr>
            <w:tcW w:w="808"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1969.05</w:t>
            </w:r>
          </w:p>
        </w:tc>
        <w:tc>
          <w:tcPr>
            <w:tcW w:w="604"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本科</w:t>
            </w:r>
          </w:p>
        </w:tc>
        <w:tc>
          <w:tcPr>
            <w:tcW w:w="4803"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left"/>
              <w:rPr>
                <w:rFonts w:ascii="宋体" w:hAnsi="宋体" w:cs="宋体"/>
                <w:color w:val="000000"/>
                <w:kern w:val="0"/>
                <w:sz w:val="18"/>
                <w:szCs w:val="18"/>
              </w:rPr>
            </w:pPr>
            <w:r w:rsidRPr="00573484">
              <w:rPr>
                <w:rFonts w:ascii="宋体" w:hAnsi="宋体" w:cs="宋体" w:hint="eastAsia"/>
                <w:color w:val="000000"/>
                <w:kern w:val="0"/>
                <w:sz w:val="18"/>
                <w:szCs w:val="18"/>
              </w:rPr>
              <w:t>负责主持党委工作、高级管理层工作，分管行政、人力、计划财务、科技信息等相关工作</w:t>
            </w:r>
          </w:p>
        </w:tc>
        <w:tc>
          <w:tcPr>
            <w:tcW w:w="99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0</w:t>
            </w:r>
          </w:p>
        </w:tc>
      </w:tr>
      <w:tr w:rsidR="00573484" w:rsidTr="0045011A">
        <w:trPr>
          <w:trHeight w:val="392"/>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副行长</w:t>
            </w:r>
          </w:p>
        </w:tc>
        <w:tc>
          <w:tcPr>
            <w:tcW w:w="796"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卢建强</w:t>
            </w:r>
          </w:p>
        </w:tc>
        <w:tc>
          <w:tcPr>
            <w:tcW w:w="50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男</w:t>
            </w:r>
          </w:p>
        </w:tc>
        <w:tc>
          <w:tcPr>
            <w:tcW w:w="808"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1968.12</w:t>
            </w:r>
          </w:p>
        </w:tc>
        <w:tc>
          <w:tcPr>
            <w:tcW w:w="604"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大专</w:t>
            </w:r>
          </w:p>
        </w:tc>
        <w:tc>
          <w:tcPr>
            <w:tcW w:w="4803"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负责做好风险合规等相关工作</w:t>
            </w:r>
          </w:p>
        </w:tc>
        <w:tc>
          <w:tcPr>
            <w:tcW w:w="99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0</w:t>
            </w:r>
          </w:p>
        </w:tc>
      </w:tr>
      <w:tr w:rsidR="00573484" w:rsidTr="00E661F3">
        <w:trPr>
          <w:trHeight w:val="392"/>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行长助理</w:t>
            </w:r>
          </w:p>
        </w:tc>
        <w:tc>
          <w:tcPr>
            <w:tcW w:w="796"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赵建</w:t>
            </w:r>
          </w:p>
        </w:tc>
        <w:tc>
          <w:tcPr>
            <w:tcW w:w="50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女</w:t>
            </w:r>
          </w:p>
        </w:tc>
        <w:tc>
          <w:tcPr>
            <w:tcW w:w="808"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1973.06</w:t>
            </w:r>
          </w:p>
        </w:tc>
        <w:tc>
          <w:tcPr>
            <w:tcW w:w="604"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本科</w:t>
            </w:r>
          </w:p>
        </w:tc>
        <w:tc>
          <w:tcPr>
            <w:tcW w:w="4803"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left"/>
              <w:rPr>
                <w:rFonts w:ascii="宋体" w:hAnsi="宋体" w:cs="宋体"/>
                <w:color w:val="000000"/>
                <w:kern w:val="0"/>
                <w:sz w:val="18"/>
                <w:szCs w:val="18"/>
              </w:rPr>
            </w:pPr>
            <w:r w:rsidRPr="00573484">
              <w:rPr>
                <w:rFonts w:ascii="宋体" w:hAnsi="宋体" w:cs="宋体" w:hint="eastAsia"/>
                <w:color w:val="000000"/>
                <w:kern w:val="0"/>
                <w:sz w:val="18"/>
                <w:szCs w:val="18"/>
              </w:rPr>
              <w:t>协助行长分管运营、清算、安全保卫、企业文化、优质文明服务建设等相关工作，协助监事长做好纪检、监察等相关工作，主持工会、青年团建工作</w:t>
            </w:r>
          </w:p>
        </w:tc>
        <w:tc>
          <w:tcPr>
            <w:tcW w:w="99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0</w:t>
            </w:r>
          </w:p>
        </w:tc>
      </w:tr>
      <w:tr w:rsidR="00573484" w:rsidTr="00E661F3">
        <w:trPr>
          <w:trHeight w:val="392"/>
          <w:tblCellSpacing w:w="0" w:type="dxa"/>
        </w:trPr>
        <w:tc>
          <w:tcPr>
            <w:tcW w:w="701"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行长助理</w:t>
            </w:r>
          </w:p>
        </w:tc>
        <w:tc>
          <w:tcPr>
            <w:tcW w:w="796"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刘学栋</w:t>
            </w:r>
          </w:p>
        </w:tc>
        <w:tc>
          <w:tcPr>
            <w:tcW w:w="50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男</w:t>
            </w:r>
          </w:p>
        </w:tc>
        <w:tc>
          <w:tcPr>
            <w:tcW w:w="808"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1975.11</w:t>
            </w:r>
          </w:p>
        </w:tc>
        <w:tc>
          <w:tcPr>
            <w:tcW w:w="604"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本科</w:t>
            </w:r>
          </w:p>
        </w:tc>
        <w:tc>
          <w:tcPr>
            <w:tcW w:w="4803"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 xml:space="preserve">协助行长分管业务拓展、产品创新、信贷管理等相关工作 </w:t>
            </w:r>
          </w:p>
        </w:tc>
        <w:tc>
          <w:tcPr>
            <w:tcW w:w="992" w:type="dxa"/>
            <w:tcBorders>
              <w:top w:val="outset" w:sz="6" w:space="0" w:color="auto"/>
              <w:left w:val="outset" w:sz="6" w:space="0" w:color="auto"/>
              <w:bottom w:val="outset" w:sz="6" w:space="0" w:color="auto"/>
              <w:right w:val="outset" w:sz="6" w:space="0" w:color="auto"/>
            </w:tcBorders>
            <w:vAlign w:val="center"/>
          </w:tcPr>
          <w:p w:rsidR="00573484" w:rsidRPr="00573484" w:rsidRDefault="00573484" w:rsidP="00573484">
            <w:pPr>
              <w:widowControl/>
              <w:spacing w:line="360" w:lineRule="exact"/>
              <w:jc w:val="center"/>
              <w:rPr>
                <w:rFonts w:ascii="宋体" w:hAnsi="宋体" w:cs="宋体"/>
                <w:color w:val="000000"/>
                <w:kern w:val="0"/>
                <w:sz w:val="18"/>
                <w:szCs w:val="18"/>
              </w:rPr>
            </w:pPr>
            <w:r w:rsidRPr="00573484">
              <w:rPr>
                <w:rFonts w:ascii="宋体" w:hAnsi="宋体" w:cs="宋体" w:hint="eastAsia"/>
                <w:color w:val="000000"/>
                <w:kern w:val="0"/>
                <w:sz w:val="18"/>
                <w:szCs w:val="18"/>
              </w:rPr>
              <w:t>0</w:t>
            </w:r>
          </w:p>
        </w:tc>
      </w:tr>
    </w:tbl>
    <w:p w:rsidR="0045011A" w:rsidRDefault="0045011A" w:rsidP="0045011A">
      <w:pPr>
        <w:spacing w:line="560" w:lineRule="exact"/>
        <w:ind w:firstLineChars="200" w:firstLine="600"/>
        <w:rPr>
          <w:rFonts w:ascii="仿宋_GB2312" w:eastAsia="仿宋_GB2312"/>
          <w:color w:val="000000"/>
          <w:sz w:val="30"/>
          <w:szCs w:val="30"/>
          <w:shd w:val="clear" w:color="auto" w:fill="FFFFFF"/>
        </w:rPr>
      </w:pPr>
      <w:r>
        <w:rPr>
          <w:rFonts w:ascii="仿宋_GB2312" w:eastAsia="仿宋_GB2312" w:hint="eastAsia"/>
          <w:color w:val="000000"/>
          <w:sz w:val="30"/>
          <w:szCs w:val="30"/>
          <w:shd w:val="clear" w:color="auto" w:fill="FFFFFF"/>
        </w:rPr>
        <w:t>五、董事、监事、高级管理人员薪酬情况</w:t>
      </w:r>
    </w:p>
    <w:p w:rsidR="0045011A" w:rsidRPr="00362968" w:rsidRDefault="0045011A" w:rsidP="00362968">
      <w:pPr>
        <w:spacing w:line="560" w:lineRule="exact"/>
        <w:ind w:firstLine="570"/>
        <w:rPr>
          <w:rFonts w:ascii="仿宋_GB2312" w:eastAsia="仿宋_GB2312" w:hAnsi="ˎ̥" w:cs="Tahoma"/>
          <w:kern w:val="0"/>
          <w:sz w:val="30"/>
          <w:szCs w:val="30"/>
        </w:rPr>
      </w:pPr>
      <w:r w:rsidRPr="00362968">
        <w:rPr>
          <w:rFonts w:ascii="仿宋_GB2312" w:eastAsia="仿宋_GB2312" w:hAnsi="ˎ̥" w:cs="Tahoma" w:hint="eastAsia"/>
          <w:kern w:val="0"/>
          <w:sz w:val="30"/>
          <w:szCs w:val="30"/>
        </w:rPr>
        <w:t xml:space="preserve">报告期内，在本行领取薪酬的执行董事、员工监事、高级管理人员共 </w:t>
      </w:r>
      <w:r w:rsidR="00362968" w:rsidRPr="00362968">
        <w:rPr>
          <w:rFonts w:ascii="仿宋_GB2312" w:eastAsia="仿宋_GB2312" w:hAnsi="ˎ̥" w:cs="Tahoma" w:hint="eastAsia"/>
          <w:kern w:val="0"/>
          <w:sz w:val="30"/>
          <w:szCs w:val="30"/>
        </w:rPr>
        <w:t>5</w:t>
      </w:r>
      <w:r w:rsidRPr="00362968">
        <w:rPr>
          <w:rFonts w:ascii="仿宋_GB2312" w:eastAsia="仿宋_GB2312" w:hAnsi="ˎ̥" w:cs="Tahoma" w:hint="eastAsia"/>
          <w:kern w:val="0"/>
          <w:sz w:val="30"/>
          <w:szCs w:val="30"/>
        </w:rPr>
        <w:t>人，报告期内实际领取</w:t>
      </w:r>
      <w:r w:rsidR="00B7707C">
        <w:rPr>
          <w:rFonts w:ascii="仿宋_GB2312" w:eastAsia="仿宋_GB2312" w:hAnsi="ˎ̥" w:cs="Tahoma" w:hint="eastAsia"/>
          <w:kern w:val="0"/>
          <w:sz w:val="30"/>
          <w:szCs w:val="30"/>
        </w:rPr>
        <w:t>薪酬总额（税前</w:t>
      </w:r>
      <w:r w:rsidRPr="00362968">
        <w:rPr>
          <w:rFonts w:ascii="仿宋_GB2312" w:eastAsia="仿宋_GB2312" w:hAnsi="ˎ̥" w:cs="Tahoma" w:hint="eastAsia"/>
          <w:kern w:val="0"/>
          <w:sz w:val="30"/>
          <w:szCs w:val="30"/>
        </w:rPr>
        <w:t xml:space="preserve">）为 </w:t>
      </w:r>
      <w:r w:rsidR="00B7707C">
        <w:rPr>
          <w:rFonts w:ascii="仿宋_GB2312" w:eastAsia="仿宋_GB2312" w:hAnsi="ˎ̥" w:cs="Tahoma" w:hint="eastAsia"/>
          <w:kern w:val="0"/>
          <w:sz w:val="30"/>
          <w:szCs w:val="30"/>
        </w:rPr>
        <w:t>12</w:t>
      </w:r>
      <w:r w:rsidR="008F72C8">
        <w:rPr>
          <w:rFonts w:ascii="仿宋_GB2312" w:eastAsia="仿宋_GB2312" w:hAnsi="ˎ̥" w:cs="Tahoma" w:hint="eastAsia"/>
          <w:kern w:val="0"/>
          <w:sz w:val="30"/>
          <w:szCs w:val="30"/>
        </w:rPr>
        <w:t>7.3</w:t>
      </w:r>
      <w:r w:rsidRPr="00362968">
        <w:rPr>
          <w:rFonts w:ascii="仿宋_GB2312" w:eastAsia="仿宋_GB2312" w:hAnsi="ˎ̥" w:cs="Tahoma" w:hint="eastAsia"/>
          <w:kern w:val="0"/>
          <w:sz w:val="30"/>
          <w:szCs w:val="30"/>
        </w:rPr>
        <w:t xml:space="preserve"> 万元；</w:t>
      </w:r>
    </w:p>
    <w:p w:rsidR="0045011A" w:rsidRDefault="0045011A" w:rsidP="0086384C">
      <w:pPr>
        <w:spacing w:line="560" w:lineRule="exact"/>
        <w:rPr>
          <w:rFonts w:ascii="黑体" w:eastAsia="黑体" w:hAnsi="ˎ̥" w:cs="Tahoma"/>
          <w:kern w:val="0"/>
          <w:sz w:val="30"/>
          <w:szCs w:val="30"/>
        </w:rPr>
      </w:pPr>
    </w:p>
    <w:p w:rsidR="00C5511A" w:rsidRPr="0091336D" w:rsidRDefault="00C5511A" w:rsidP="002B48F9">
      <w:pPr>
        <w:spacing w:line="560" w:lineRule="exact"/>
        <w:jc w:val="center"/>
        <w:rPr>
          <w:rFonts w:ascii="黑体" w:eastAsia="黑体" w:hAnsi="宋体" w:cs="宋体"/>
          <w:kern w:val="0"/>
          <w:sz w:val="30"/>
          <w:szCs w:val="30"/>
        </w:rPr>
      </w:pPr>
      <w:r w:rsidRPr="0091336D">
        <w:rPr>
          <w:rFonts w:ascii="黑体" w:eastAsia="黑体" w:hAnsi="ˎ̥" w:cs="Tahoma" w:hint="eastAsia"/>
          <w:kern w:val="0"/>
          <w:sz w:val="30"/>
          <w:szCs w:val="30"/>
        </w:rPr>
        <w:t>第</w:t>
      </w:r>
      <w:r w:rsidR="001A199F">
        <w:rPr>
          <w:rFonts w:ascii="黑体" w:eastAsia="黑体" w:hAnsi="ˎ̥" w:cs="Tahoma" w:hint="eastAsia"/>
          <w:kern w:val="0"/>
          <w:sz w:val="30"/>
          <w:szCs w:val="30"/>
        </w:rPr>
        <w:t>七</w:t>
      </w:r>
      <w:r w:rsidRPr="0091336D">
        <w:rPr>
          <w:rFonts w:ascii="黑体" w:eastAsia="黑体" w:hAnsi="ˎ̥" w:cs="Tahoma" w:hint="eastAsia"/>
          <w:kern w:val="0"/>
          <w:sz w:val="30"/>
          <w:szCs w:val="30"/>
        </w:rPr>
        <w:t xml:space="preserve">章　</w:t>
      </w:r>
      <w:r w:rsidRPr="0091336D">
        <w:rPr>
          <w:rFonts w:ascii="黑体" w:eastAsia="黑体" w:hAnsi="宋体" w:cs="宋体" w:hint="eastAsia"/>
          <w:kern w:val="0"/>
          <w:sz w:val="30"/>
          <w:szCs w:val="30"/>
        </w:rPr>
        <w:t>重大事项</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一、重要诉讼、仲裁事项和重大案件情况</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报告期内，本行没有对经营产生重大影响的诉讼、仲裁事项，未发生重大经济案件。</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二、报告期内，本行无收购、合并及出售重大资产事项。</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lastRenderedPageBreak/>
        <w:t>三、报告期内，本行关联交易正当公平，没有损害股东和本行利益。</w:t>
      </w:r>
    </w:p>
    <w:p w:rsidR="00C5511A" w:rsidRPr="00847A32"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四、报告期内，本行董事会及董事、监事会及监事、高级管理人员无受监管部门处罚情况发生。</w:t>
      </w:r>
    </w:p>
    <w:p w:rsidR="00C5511A" w:rsidRDefault="00C5511A" w:rsidP="002B48F9">
      <w:pPr>
        <w:spacing w:line="560" w:lineRule="exact"/>
        <w:ind w:firstLine="570"/>
        <w:rPr>
          <w:rFonts w:ascii="仿宋_GB2312" w:eastAsia="仿宋_GB2312" w:hAnsi="ˎ̥" w:cs="Tahoma"/>
          <w:kern w:val="0"/>
          <w:sz w:val="30"/>
          <w:szCs w:val="30"/>
        </w:rPr>
      </w:pPr>
      <w:r w:rsidRPr="00847A32">
        <w:rPr>
          <w:rFonts w:ascii="仿宋_GB2312" w:eastAsia="仿宋_GB2312" w:hAnsi="ˎ̥" w:cs="Tahoma" w:hint="eastAsia"/>
          <w:kern w:val="0"/>
          <w:sz w:val="30"/>
          <w:szCs w:val="30"/>
        </w:rPr>
        <w:t>五、报告期内，本行名称没有变更。</w:t>
      </w:r>
    </w:p>
    <w:p w:rsidR="002B48F9" w:rsidRDefault="002B48F9" w:rsidP="002B48F9">
      <w:pPr>
        <w:spacing w:line="560" w:lineRule="exact"/>
        <w:ind w:firstLine="570"/>
        <w:rPr>
          <w:rFonts w:ascii="仿宋_GB2312" w:eastAsia="仿宋_GB2312" w:hAnsi="ˎ̥" w:cs="Tahoma" w:hint="eastAsia"/>
          <w:kern w:val="0"/>
          <w:sz w:val="30"/>
          <w:szCs w:val="30"/>
        </w:rPr>
      </w:pPr>
    </w:p>
    <w:p w:rsidR="0095346B" w:rsidRPr="00847A32" w:rsidRDefault="0095346B" w:rsidP="002B48F9">
      <w:pPr>
        <w:spacing w:line="560" w:lineRule="exact"/>
        <w:ind w:firstLine="570"/>
        <w:rPr>
          <w:rFonts w:ascii="仿宋_GB2312" w:eastAsia="仿宋_GB2312" w:hAnsi="ˎ̥" w:cs="Tahoma"/>
          <w:kern w:val="0"/>
          <w:sz w:val="30"/>
          <w:szCs w:val="30"/>
        </w:rPr>
      </w:pPr>
    </w:p>
    <w:p w:rsidR="002C3F04" w:rsidRPr="002B48F9" w:rsidRDefault="00C5511A" w:rsidP="002B48F9">
      <w:pPr>
        <w:spacing w:line="560" w:lineRule="exact"/>
        <w:ind w:firstLineChars="2102" w:firstLine="6306"/>
        <w:rPr>
          <w:rFonts w:ascii="仿宋_GB2312" w:eastAsia="仿宋_GB2312" w:hAnsi="ˎ̥" w:cs="Tahoma"/>
          <w:kern w:val="0"/>
          <w:sz w:val="30"/>
          <w:szCs w:val="30"/>
        </w:rPr>
      </w:pPr>
      <w:r w:rsidRPr="00847A32">
        <w:rPr>
          <w:rFonts w:ascii="仿宋_GB2312" w:eastAsia="仿宋_GB2312" w:hAnsi="ˎ̥" w:cs="Tahoma" w:hint="eastAsia"/>
          <w:kern w:val="0"/>
          <w:sz w:val="30"/>
          <w:szCs w:val="30"/>
        </w:rPr>
        <w:t>20</w:t>
      </w:r>
      <w:r w:rsidR="003A0918">
        <w:rPr>
          <w:rFonts w:ascii="仿宋_GB2312" w:eastAsia="仿宋_GB2312" w:hAnsi="ˎ̥" w:cs="Tahoma" w:hint="eastAsia"/>
          <w:kern w:val="0"/>
          <w:sz w:val="30"/>
          <w:szCs w:val="30"/>
        </w:rPr>
        <w:t>20</w:t>
      </w:r>
      <w:r w:rsidRPr="00847A32">
        <w:rPr>
          <w:rFonts w:ascii="仿宋_GB2312" w:eastAsia="仿宋_GB2312" w:hAnsi="ˎ̥" w:cs="Tahoma" w:hint="eastAsia"/>
          <w:kern w:val="0"/>
          <w:sz w:val="30"/>
          <w:szCs w:val="30"/>
        </w:rPr>
        <w:t xml:space="preserve">年 </w:t>
      </w:r>
      <w:r w:rsidR="00847A32">
        <w:rPr>
          <w:rFonts w:ascii="仿宋_GB2312" w:eastAsia="仿宋_GB2312" w:hAnsi="ˎ̥" w:cs="Tahoma" w:hint="eastAsia"/>
          <w:kern w:val="0"/>
          <w:sz w:val="30"/>
          <w:szCs w:val="30"/>
        </w:rPr>
        <w:t>5</w:t>
      </w:r>
      <w:r w:rsidRPr="00847A32">
        <w:rPr>
          <w:rFonts w:ascii="仿宋_GB2312" w:eastAsia="仿宋_GB2312" w:hAnsi="ˎ̥" w:cs="Tahoma" w:hint="eastAsia"/>
          <w:kern w:val="0"/>
          <w:sz w:val="30"/>
          <w:szCs w:val="30"/>
        </w:rPr>
        <w:t xml:space="preserve"> 月</w:t>
      </w:r>
      <w:r w:rsidR="003A0918">
        <w:rPr>
          <w:rFonts w:ascii="仿宋_GB2312" w:eastAsia="仿宋_GB2312" w:hAnsi="ˎ̥" w:cs="Tahoma" w:hint="eastAsia"/>
          <w:kern w:val="0"/>
          <w:sz w:val="30"/>
          <w:szCs w:val="30"/>
        </w:rPr>
        <w:t>22</w:t>
      </w:r>
      <w:r w:rsidRPr="00847A32">
        <w:rPr>
          <w:rFonts w:ascii="仿宋_GB2312" w:eastAsia="仿宋_GB2312" w:hAnsi="ˎ̥" w:cs="Tahoma" w:hint="eastAsia"/>
          <w:kern w:val="0"/>
          <w:sz w:val="30"/>
          <w:szCs w:val="30"/>
        </w:rPr>
        <w:t>日</w:t>
      </w:r>
    </w:p>
    <w:sectPr w:rsidR="002C3F04" w:rsidRPr="002B48F9" w:rsidSect="002C3F04">
      <w:headerReference w:type="even" r:id="rId10"/>
      <w:headerReference w:type="default" r:id="rId11"/>
      <w:pgSz w:w="11906" w:h="16838"/>
      <w:pgMar w:top="2098" w:right="1474" w:bottom="1985" w:left="1588" w:header="851" w:footer="992" w:gutter="0"/>
      <w:cols w:space="720"/>
      <w:docGrid w:type="linesAndChar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976" w:rsidRDefault="00873976" w:rsidP="00C5511A">
      <w:r>
        <w:separator/>
      </w:r>
    </w:p>
  </w:endnote>
  <w:endnote w:type="continuationSeparator" w:id="1">
    <w:p w:rsidR="00873976" w:rsidRDefault="00873976" w:rsidP="00C55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976" w:rsidRDefault="00873976" w:rsidP="00C5511A">
      <w:r>
        <w:separator/>
      </w:r>
    </w:p>
  </w:footnote>
  <w:footnote w:type="continuationSeparator" w:id="1">
    <w:p w:rsidR="00873976" w:rsidRDefault="00873976" w:rsidP="00C55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F3" w:rsidRDefault="00E661F3">
    <w:pPr>
      <w:pStyle w:val="a3"/>
      <w:pBdr>
        <w:bottom w:val="none" w:sz="0" w:space="0" w:color="auto"/>
      </w:pBdr>
      <w:spacing w:line="140" w:lineRule="exact"/>
      <w:ind w:rightChars="93" w:right="195" w:firstLineChars="150" w:firstLine="27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F3" w:rsidRDefault="00E661F3">
    <w:pPr>
      <w:pStyle w:val="a3"/>
      <w:pBdr>
        <w:bottom w:val="none" w:sz="0" w:space="0" w:color="auto"/>
      </w:pBdr>
      <w:spacing w:line="140" w:lineRule="exact"/>
      <w:ind w:rightChars="93" w:right="195" w:firstLineChars="150" w:firstLine="27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F3" w:rsidRDefault="00E661F3">
    <w:pPr>
      <w:pStyle w:val="a3"/>
      <w:pBdr>
        <w:bottom w:val="none" w:sz="0" w:space="0" w:color="auto"/>
      </w:pBdr>
      <w:spacing w:line="140" w:lineRule="exact"/>
      <w:ind w:rightChars="93" w:right="195" w:firstLineChars="150" w:firstLine="27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F3" w:rsidRDefault="00E661F3">
    <w:pPr>
      <w:pStyle w:val="a3"/>
      <w:pBdr>
        <w:bottom w:val="none" w:sz="0" w:space="0" w:color="auto"/>
      </w:pBdr>
      <w:spacing w:line="140" w:lineRule="exact"/>
      <w:ind w:rightChars="93" w:right="195" w:firstLineChars="150" w:firstLine="27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703B"/>
    <w:multiLevelType w:val="singleLevel"/>
    <w:tmpl w:val="5343703B"/>
    <w:lvl w:ilvl="0">
      <w:start w:val="1"/>
      <w:numFmt w:val="chineseCountingThousand"/>
      <w:lvlText w:val="(%1)"/>
      <w:lvlJc w:val="left"/>
      <w:pPr>
        <w:ind w:left="1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11A"/>
    <w:rsid w:val="00003425"/>
    <w:rsid w:val="000055DA"/>
    <w:rsid w:val="0001483E"/>
    <w:rsid w:val="00047AF7"/>
    <w:rsid w:val="000563AB"/>
    <w:rsid w:val="000658C5"/>
    <w:rsid w:val="00075595"/>
    <w:rsid w:val="000C0121"/>
    <w:rsid w:val="000E5C2D"/>
    <w:rsid w:val="00104891"/>
    <w:rsid w:val="00106156"/>
    <w:rsid w:val="0015160F"/>
    <w:rsid w:val="00162C65"/>
    <w:rsid w:val="001902AF"/>
    <w:rsid w:val="0019058A"/>
    <w:rsid w:val="001A199F"/>
    <w:rsid w:val="001B4A8E"/>
    <w:rsid w:val="001C76C7"/>
    <w:rsid w:val="001E733D"/>
    <w:rsid w:val="001F3335"/>
    <w:rsid w:val="001F763F"/>
    <w:rsid w:val="0021046C"/>
    <w:rsid w:val="00245E19"/>
    <w:rsid w:val="002628BF"/>
    <w:rsid w:val="00272286"/>
    <w:rsid w:val="002B48F9"/>
    <w:rsid w:val="002C3F04"/>
    <w:rsid w:val="002C6F77"/>
    <w:rsid w:val="002D4AC7"/>
    <w:rsid w:val="002E36A7"/>
    <w:rsid w:val="002F2A1A"/>
    <w:rsid w:val="002F4D06"/>
    <w:rsid w:val="003215C7"/>
    <w:rsid w:val="00351338"/>
    <w:rsid w:val="00362968"/>
    <w:rsid w:val="0037264F"/>
    <w:rsid w:val="003A0918"/>
    <w:rsid w:val="003A5E4A"/>
    <w:rsid w:val="003B144D"/>
    <w:rsid w:val="003B7832"/>
    <w:rsid w:val="003D0C76"/>
    <w:rsid w:val="003E510C"/>
    <w:rsid w:val="0040466D"/>
    <w:rsid w:val="00426575"/>
    <w:rsid w:val="0045011A"/>
    <w:rsid w:val="00453D00"/>
    <w:rsid w:val="00463A7C"/>
    <w:rsid w:val="00472A27"/>
    <w:rsid w:val="004A4C4F"/>
    <w:rsid w:val="004A766E"/>
    <w:rsid w:val="004B1F43"/>
    <w:rsid w:val="004B4035"/>
    <w:rsid w:val="004B4A1E"/>
    <w:rsid w:val="004B5A6A"/>
    <w:rsid w:val="004E0EBC"/>
    <w:rsid w:val="004E3BA4"/>
    <w:rsid w:val="004E7BD1"/>
    <w:rsid w:val="004F257D"/>
    <w:rsid w:val="00520EB2"/>
    <w:rsid w:val="005365C0"/>
    <w:rsid w:val="00550FBD"/>
    <w:rsid w:val="0056038F"/>
    <w:rsid w:val="00561B8F"/>
    <w:rsid w:val="00570126"/>
    <w:rsid w:val="00573484"/>
    <w:rsid w:val="00596C72"/>
    <w:rsid w:val="005B74CF"/>
    <w:rsid w:val="00616B04"/>
    <w:rsid w:val="00636FB5"/>
    <w:rsid w:val="00655051"/>
    <w:rsid w:val="006712A6"/>
    <w:rsid w:val="00682685"/>
    <w:rsid w:val="00694406"/>
    <w:rsid w:val="00697449"/>
    <w:rsid w:val="006B1C08"/>
    <w:rsid w:val="006B67DB"/>
    <w:rsid w:val="006D4593"/>
    <w:rsid w:val="00701B7A"/>
    <w:rsid w:val="00706585"/>
    <w:rsid w:val="00710604"/>
    <w:rsid w:val="00752D42"/>
    <w:rsid w:val="007852EF"/>
    <w:rsid w:val="00791189"/>
    <w:rsid w:val="007A0D0C"/>
    <w:rsid w:val="007B1092"/>
    <w:rsid w:val="007B52ED"/>
    <w:rsid w:val="007E1285"/>
    <w:rsid w:val="007E4E58"/>
    <w:rsid w:val="0084430E"/>
    <w:rsid w:val="00845A62"/>
    <w:rsid w:val="00847A32"/>
    <w:rsid w:val="00853D0B"/>
    <w:rsid w:val="00855EA0"/>
    <w:rsid w:val="00862C0A"/>
    <w:rsid w:val="0086384C"/>
    <w:rsid w:val="0087271A"/>
    <w:rsid w:val="00872B23"/>
    <w:rsid w:val="00873976"/>
    <w:rsid w:val="0089101A"/>
    <w:rsid w:val="008C323D"/>
    <w:rsid w:val="008D0858"/>
    <w:rsid w:val="008F5787"/>
    <w:rsid w:val="008F72C8"/>
    <w:rsid w:val="009011C5"/>
    <w:rsid w:val="0091336D"/>
    <w:rsid w:val="00934D62"/>
    <w:rsid w:val="0095346B"/>
    <w:rsid w:val="00994C58"/>
    <w:rsid w:val="00A024E7"/>
    <w:rsid w:val="00A2528E"/>
    <w:rsid w:val="00A31982"/>
    <w:rsid w:val="00A34C59"/>
    <w:rsid w:val="00A43CAB"/>
    <w:rsid w:val="00A806BA"/>
    <w:rsid w:val="00A911D7"/>
    <w:rsid w:val="00AA7F57"/>
    <w:rsid w:val="00AC38CE"/>
    <w:rsid w:val="00AC6BDF"/>
    <w:rsid w:val="00AD0D0E"/>
    <w:rsid w:val="00AD6818"/>
    <w:rsid w:val="00AE5574"/>
    <w:rsid w:val="00AF01AE"/>
    <w:rsid w:val="00AF049C"/>
    <w:rsid w:val="00AF4B75"/>
    <w:rsid w:val="00B045E3"/>
    <w:rsid w:val="00B1430C"/>
    <w:rsid w:val="00B1452E"/>
    <w:rsid w:val="00B207BE"/>
    <w:rsid w:val="00B2313D"/>
    <w:rsid w:val="00B31D6C"/>
    <w:rsid w:val="00B47E7F"/>
    <w:rsid w:val="00B7707C"/>
    <w:rsid w:val="00B86804"/>
    <w:rsid w:val="00B9543B"/>
    <w:rsid w:val="00BB6142"/>
    <w:rsid w:val="00BC605D"/>
    <w:rsid w:val="00BE7DF0"/>
    <w:rsid w:val="00C03908"/>
    <w:rsid w:val="00C33BF0"/>
    <w:rsid w:val="00C42C0E"/>
    <w:rsid w:val="00C44F7D"/>
    <w:rsid w:val="00C53041"/>
    <w:rsid w:val="00C5511A"/>
    <w:rsid w:val="00C66D35"/>
    <w:rsid w:val="00C706E5"/>
    <w:rsid w:val="00C77F2B"/>
    <w:rsid w:val="00C819F0"/>
    <w:rsid w:val="00CD125E"/>
    <w:rsid w:val="00CD570F"/>
    <w:rsid w:val="00CD5BB8"/>
    <w:rsid w:val="00CE012B"/>
    <w:rsid w:val="00D23105"/>
    <w:rsid w:val="00D5053A"/>
    <w:rsid w:val="00D607A9"/>
    <w:rsid w:val="00DA76EC"/>
    <w:rsid w:val="00DC1680"/>
    <w:rsid w:val="00DC67D9"/>
    <w:rsid w:val="00E06B64"/>
    <w:rsid w:val="00E11B6B"/>
    <w:rsid w:val="00E248CE"/>
    <w:rsid w:val="00E655F3"/>
    <w:rsid w:val="00E661F3"/>
    <w:rsid w:val="00E86BDF"/>
    <w:rsid w:val="00EA0265"/>
    <w:rsid w:val="00EA37A6"/>
    <w:rsid w:val="00EA4F38"/>
    <w:rsid w:val="00EE0639"/>
    <w:rsid w:val="00F151F2"/>
    <w:rsid w:val="00F22963"/>
    <w:rsid w:val="00F616DA"/>
    <w:rsid w:val="00F93ECC"/>
    <w:rsid w:val="00FB116A"/>
    <w:rsid w:val="00FB32CB"/>
    <w:rsid w:val="00FD312B"/>
    <w:rsid w:val="00FD4DD7"/>
    <w:rsid w:val="00FE057E"/>
    <w:rsid w:val="00FE5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1A"/>
    <w:pPr>
      <w:widowControl w:val="0"/>
      <w:jc w:val="both"/>
    </w:pPr>
    <w:rPr>
      <w:rFonts w:ascii="Times New Roman" w:eastAsia="宋体" w:hAnsi="Times New Roman" w:cs="Times New Roman"/>
      <w:szCs w:val="24"/>
    </w:rPr>
  </w:style>
  <w:style w:type="paragraph" w:styleId="1">
    <w:name w:val="heading 1"/>
    <w:basedOn w:val="a"/>
    <w:next w:val="a"/>
    <w:link w:val="1Char"/>
    <w:qFormat/>
    <w:rsid w:val="00C551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51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511A"/>
    <w:rPr>
      <w:sz w:val="18"/>
      <w:szCs w:val="18"/>
    </w:rPr>
  </w:style>
  <w:style w:type="paragraph" w:styleId="a4">
    <w:name w:val="footer"/>
    <w:basedOn w:val="a"/>
    <w:link w:val="Char0"/>
    <w:uiPriority w:val="99"/>
    <w:semiHidden/>
    <w:unhideWhenUsed/>
    <w:rsid w:val="00C551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511A"/>
    <w:rPr>
      <w:sz w:val="18"/>
      <w:szCs w:val="18"/>
    </w:rPr>
  </w:style>
  <w:style w:type="character" w:customStyle="1" w:styleId="1Char">
    <w:name w:val="标题 1 Char"/>
    <w:basedOn w:val="a0"/>
    <w:link w:val="1"/>
    <w:rsid w:val="00C5511A"/>
    <w:rPr>
      <w:rFonts w:ascii="Times New Roman" w:eastAsia="宋体" w:hAnsi="Times New Roman" w:cs="Times New Roman"/>
      <w:b/>
      <w:bCs/>
      <w:kern w:val="44"/>
      <w:sz w:val="44"/>
      <w:szCs w:val="44"/>
    </w:rPr>
  </w:style>
  <w:style w:type="paragraph" w:customStyle="1" w:styleId="Default">
    <w:name w:val="Default"/>
    <w:qFormat/>
    <w:rsid w:val="0045011A"/>
    <w:pPr>
      <w:widowControl w:val="0"/>
      <w:autoSpaceDE w:val="0"/>
      <w:autoSpaceDN w:val="0"/>
      <w:adjustRightInd w:val="0"/>
    </w:pPr>
    <w:rPr>
      <w:rFonts w:ascii="方正小标宋简体" w:eastAsia="方正小标宋简体" w:hAnsi="Calibri" w:cs="方正小标宋简体"/>
      <w:color w:val="000000"/>
      <w:kern w:val="0"/>
      <w:sz w:val="24"/>
      <w:szCs w:val="24"/>
    </w:rPr>
  </w:style>
  <w:style w:type="paragraph" w:styleId="a5">
    <w:name w:val="Balloon Text"/>
    <w:basedOn w:val="a"/>
    <w:link w:val="Char1"/>
    <w:uiPriority w:val="99"/>
    <w:semiHidden/>
    <w:unhideWhenUsed/>
    <w:rsid w:val="0045011A"/>
    <w:rPr>
      <w:sz w:val="18"/>
      <w:szCs w:val="18"/>
    </w:rPr>
  </w:style>
  <w:style w:type="character" w:customStyle="1" w:styleId="Char1">
    <w:name w:val="批注框文本 Char"/>
    <w:basedOn w:val="a0"/>
    <w:link w:val="a5"/>
    <w:uiPriority w:val="99"/>
    <w:semiHidden/>
    <w:rsid w:val="004501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90128243">
      <w:bodyDiv w:val="1"/>
      <w:marLeft w:val="0"/>
      <w:marRight w:val="0"/>
      <w:marTop w:val="0"/>
      <w:marBottom w:val="0"/>
      <w:divBdr>
        <w:top w:val="none" w:sz="0" w:space="0" w:color="auto"/>
        <w:left w:val="none" w:sz="0" w:space="0" w:color="auto"/>
        <w:bottom w:val="none" w:sz="0" w:space="0" w:color="auto"/>
        <w:right w:val="none" w:sz="0" w:space="0" w:color="auto"/>
      </w:divBdr>
    </w:div>
    <w:div w:id="14229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E53D-540D-41F3-A833-055B2596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1158</Words>
  <Characters>6603</Characters>
  <Application>Microsoft Office Word</Application>
  <DocSecurity>0</DocSecurity>
  <Lines>55</Lines>
  <Paragraphs>15</Paragraphs>
  <ScaleCrop>false</ScaleCrop>
  <Company>微软中国</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姚月湘(6420007)</dc:creator>
  <cp:lastModifiedBy>穆大卫(6420006)</cp:lastModifiedBy>
  <cp:revision>6</cp:revision>
  <cp:lastPrinted>2020-05-15T06:24:00Z</cp:lastPrinted>
  <dcterms:created xsi:type="dcterms:W3CDTF">2020-05-26T00:26:00Z</dcterms:created>
  <dcterms:modified xsi:type="dcterms:W3CDTF">2020-05-26T00:28:00Z</dcterms:modified>
</cp:coreProperties>
</file>