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11" w:rsidRPr="00CE5B18" w:rsidRDefault="003B6511" w:rsidP="00E73C91">
      <w:pPr>
        <w:spacing w:line="560" w:lineRule="exact"/>
        <w:jc w:val="center"/>
        <w:rPr>
          <w:rFonts w:ascii="方正小标宋_GBK" w:eastAsia="方正小标宋_GBK" w:hAnsi="宋体"/>
          <w:color w:val="000000" w:themeColor="text1"/>
          <w:sz w:val="36"/>
          <w:szCs w:val="36"/>
        </w:rPr>
      </w:pPr>
      <w:r w:rsidRPr="00CE5B18">
        <w:rPr>
          <w:rFonts w:ascii="方正小标宋_GBK" w:eastAsia="方正小标宋_GBK" w:hAnsi="宋体" w:hint="eastAsia"/>
          <w:color w:val="000000" w:themeColor="text1"/>
          <w:sz w:val="36"/>
          <w:szCs w:val="36"/>
        </w:rPr>
        <w:t>浙江海宁德商村镇银行股份有限公司</w:t>
      </w:r>
    </w:p>
    <w:p w:rsidR="003B6511" w:rsidRPr="00331E27" w:rsidRDefault="003B6511" w:rsidP="00331E27">
      <w:pPr>
        <w:spacing w:line="560" w:lineRule="exact"/>
        <w:jc w:val="center"/>
        <w:rPr>
          <w:rFonts w:ascii="方正小标宋_GBK" w:eastAsia="方正小标宋_GBK" w:hAnsi="宋体"/>
          <w:color w:val="000000" w:themeColor="text1"/>
          <w:sz w:val="36"/>
          <w:szCs w:val="36"/>
        </w:rPr>
      </w:pPr>
      <w:r w:rsidRPr="00CE5B18">
        <w:rPr>
          <w:rFonts w:ascii="方正小标宋_GBK" w:eastAsia="方正小标宋_GBK" w:hAnsi="宋体" w:hint="eastAsia"/>
          <w:color w:val="000000" w:themeColor="text1"/>
          <w:sz w:val="36"/>
          <w:szCs w:val="36"/>
        </w:rPr>
        <w:t>201</w:t>
      </w:r>
      <w:r w:rsidR="00597E93">
        <w:rPr>
          <w:rFonts w:ascii="方正小标宋_GBK" w:eastAsia="方正小标宋_GBK" w:hAnsi="宋体" w:hint="eastAsia"/>
          <w:color w:val="000000" w:themeColor="text1"/>
          <w:sz w:val="36"/>
          <w:szCs w:val="36"/>
        </w:rPr>
        <w:t>8</w:t>
      </w:r>
      <w:r w:rsidRPr="00CE5B18">
        <w:rPr>
          <w:rFonts w:ascii="方正小标宋_GBK" w:eastAsia="方正小标宋_GBK" w:hAnsi="宋体" w:hint="eastAsia"/>
          <w:color w:val="000000" w:themeColor="text1"/>
          <w:sz w:val="36"/>
          <w:szCs w:val="36"/>
        </w:rPr>
        <w:t>年度报告</w:t>
      </w:r>
      <w:bookmarkStart w:id="0" w:name="_GoBack"/>
      <w:bookmarkEnd w:id="0"/>
    </w:p>
    <w:p w:rsidR="003B6511" w:rsidRPr="00CE5B18" w:rsidRDefault="003B6511" w:rsidP="003B6511">
      <w:pPr>
        <w:spacing w:line="560" w:lineRule="exact"/>
        <w:ind w:firstLineChars="200" w:firstLine="602"/>
        <w:rPr>
          <w:rFonts w:ascii="仿宋_GB2312" w:eastAsia="仿宋_GB2312" w:hAnsi="宋体" w:cs="Tahoma"/>
          <w:b/>
          <w:color w:val="000000" w:themeColor="text1"/>
          <w:kern w:val="0"/>
          <w:sz w:val="30"/>
          <w:szCs w:val="30"/>
        </w:rPr>
      </w:pPr>
    </w:p>
    <w:p w:rsidR="003B6511" w:rsidRPr="00170C89" w:rsidRDefault="003B6511" w:rsidP="00E73C91">
      <w:pPr>
        <w:spacing w:line="560" w:lineRule="exact"/>
        <w:jc w:val="center"/>
        <w:rPr>
          <w:rFonts w:ascii="黑体" w:eastAsia="黑体"/>
          <w:color w:val="000000" w:themeColor="text1"/>
          <w:sz w:val="32"/>
          <w:szCs w:val="32"/>
        </w:rPr>
      </w:pPr>
      <w:r w:rsidRPr="00170C89">
        <w:rPr>
          <w:rFonts w:ascii="黑体" w:eastAsia="黑体" w:hAnsi="宋体" w:cs="Tahoma" w:hint="eastAsia"/>
          <w:color w:val="000000" w:themeColor="text1"/>
          <w:kern w:val="0"/>
          <w:sz w:val="32"/>
          <w:szCs w:val="32"/>
        </w:rPr>
        <w:t xml:space="preserve">第一章　</w:t>
      </w:r>
      <w:r w:rsidRPr="00170C89">
        <w:rPr>
          <w:rFonts w:ascii="黑体" w:eastAsia="黑体" w:hint="eastAsia"/>
          <w:color w:val="000000" w:themeColor="text1"/>
          <w:sz w:val="32"/>
          <w:szCs w:val="32"/>
        </w:rPr>
        <w:t>重要提示</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浙江海宁德商村镇银行股份有限公司（以下称“本行”）董事会保证本报告所载资料不存在任何</w:t>
      </w:r>
      <w:r w:rsidRPr="00170C89">
        <w:rPr>
          <w:rFonts w:ascii="仿宋_GB2312" w:eastAsia="仿宋_GB2312" w:hint="eastAsia"/>
          <w:color w:val="000000" w:themeColor="text1"/>
          <w:sz w:val="32"/>
          <w:szCs w:val="32"/>
        </w:rPr>
        <w:t>虚假记载、误导性陈述或者重大遗漏</w:t>
      </w:r>
      <w:r w:rsidRPr="00170C89">
        <w:rPr>
          <w:rFonts w:ascii="仿宋_GB2312" w:eastAsia="仿宋_GB2312" w:hAnsi="ˎ̥" w:cs="Tahoma" w:hint="eastAsia"/>
          <w:color w:val="000000" w:themeColor="text1"/>
          <w:kern w:val="0"/>
          <w:sz w:val="32"/>
          <w:szCs w:val="32"/>
        </w:rPr>
        <w:t>，并对其内容的真实性、准确性和完整性承担个别及连带责任。</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本行年度财务报告已经</w:t>
      </w:r>
      <w:r w:rsidRPr="00170C89">
        <w:rPr>
          <w:rFonts w:ascii="仿宋_GB2312" w:eastAsia="仿宋_GB2312" w:hAnsi="ˎ̥" w:cs="Tahoma" w:hint="eastAsia"/>
          <w:kern w:val="0"/>
          <w:sz w:val="32"/>
          <w:szCs w:val="32"/>
        </w:rPr>
        <w:t>浙江</w:t>
      </w:r>
      <w:r w:rsidR="00E96CB7" w:rsidRPr="00170C89">
        <w:rPr>
          <w:rFonts w:ascii="仿宋_GB2312" w:eastAsia="仿宋_GB2312" w:hAnsi="ˎ̥" w:cs="Tahoma" w:hint="eastAsia"/>
          <w:kern w:val="0"/>
          <w:sz w:val="32"/>
          <w:szCs w:val="32"/>
        </w:rPr>
        <w:t>普华</w:t>
      </w:r>
      <w:r w:rsidRPr="00170C89">
        <w:rPr>
          <w:rFonts w:ascii="仿宋_GB2312" w:eastAsia="仿宋_GB2312" w:hAnsi="ˎ̥" w:cs="Tahoma" w:hint="eastAsia"/>
          <w:kern w:val="0"/>
          <w:sz w:val="32"/>
          <w:szCs w:val="32"/>
        </w:rPr>
        <w:t>会计师事务所有限公司</w:t>
      </w:r>
      <w:r w:rsidRPr="00170C89">
        <w:rPr>
          <w:rFonts w:ascii="仿宋_GB2312" w:eastAsia="仿宋_GB2312" w:hAnsi="ˎ̥" w:cs="Tahoma" w:hint="eastAsia"/>
          <w:color w:val="000000" w:themeColor="text1"/>
          <w:kern w:val="0"/>
          <w:sz w:val="32"/>
          <w:szCs w:val="32"/>
        </w:rPr>
        <w:t>根据中国注册会计师独立审计准则审计并出具了标准无保留意见的审计报告。</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本行董事长谢学民、行长</w:t>
      </w:r>
      <w:r w:rsidR="00455865" w:rsidRPr="00170C89">
        <w:rPr>
          <w:rFonts w:ascii="仿宋_GB2312" w:eastAsia="仿宋_GB2312" w:hAnsi="ˎ̥" w:cs="Tahoma" w:hint="eastAsia"/>
          <w:color w:val="000000" w:themeColor="text1"/>
          <w:kern w:val="0"/>
          <w:sz w:val="32"/>
          <w:szCs w:val="32"/>
        </w:rPr>
        <w:t>方国锋</w:t>
      </w:r>
      <w:r w:rsidRPr="00170C89">
        <w:rPr>
          <w:rFonts w:ascii="仿宋_GB2312" w:eastAsia="仿宋_GB2312" w:hAnsi="ˎ̥" w:cs="Tahoma" w:hint="eastAsia"/>
          <w:color w:val="000000" w:themeColor="text1"/>
          <w:kern w:val="0"/>
          <w:sz w:val="32"/>
          <w:szCs w:val="32"/>
        </w:rPr>
        <w:t>声明并保证年度报告中财务报告的真实、完整。</w:t>
      </w:r>
      <w:bookmarkStart w:id="1" w:name="OLE_LINK3"/>
    </w:p>
    <w:p w:rsidR="004E3B38" w:rsidRPr="00607601" w:rsidRDefault="004E3B38" w:rsidP="00607601">
      <w:pPr>
        <w:spacing w:line="560" w:lineRule="exact"/>
        <w:ind w:firstLineChars="200" w:firstLine="600"/>
        <w:rPr>
          <w:rFonts w:ascii="仿宋_GB2312" w:eastAsia="仿宋_GB2312" w:hAnsi="ˎ̥" w:cs="Tahoma" w:hint="eastAsia"/>
          <w:color w:val="000000" w:themeColor="text1"/>
          <w:kern w:val="0"/>
          <w:sz w:val="30"/>
          <w:szCs w:val="30"/>
        </w:rPr>
      </w:pPr>
    </w:p>
    <w:p w:rsidR="003B6511" w:rsidRPr="00170C89" w:rsidRDefault="003B6511" w:rsidP="003B6511">
      <w:pPr>
        <w:spacing w:line="560" w:lineRule="exact"/>
        <w:jc w:val="center"/>
        <w:rPr>
          <w:rFonts w:ascii="黑体" w:eastAsia="黑体" w:hAnsi="ˎ̥" w:cs="Tahoma" w:hint="eastAsia"/>
          <w:color w:val="000000" w:themeColor="text1"/>
          <w:kern w:val="0"/>
          <w:sz w:val="32"/>
          <w:szCs w:val="32"/>
        </w:rPr>
      </w:pPr>
      <w:r w:rsidRPr="00170C89">
        <w:rPr>
          <w:rFonts w:ascii="黑体" w:eastAsia="黑体" w:hAnsi="宋体" w:cs="Tahoma" w:hint="eastAsia"/>
          <w:color w:val="000000" w:themeColor="text1"/>
          <w:kern w:val="0"/>
          <w:sz w:val="32"/>
          <w:szCs w:val="32"/>
        </w:rPr>
        <w:t>第二章　公司简介</w:t>
      </w:r>
    </w:p>
    <w:bookmarkEnd w:id="1"/>
    <w:p w:rsidR="003B6511" w:rsidRPr="00170C89" w:rsidRDefault="003B6511" w:rsidP="00170C89">
      <w:pPr>
        <w:spacing w:line="560" w:lineRule="exact"/>
        <w:ind w:firstLineChars="200" w:firstLine="640"/>
        <w:rPr>
          <w:rFonts w:ascii="黑体" w:eastAsia="黑体"/>
          <w:color w:val="000000" w:themeColor="text1"/>
          <w:sz w:val="32"/>
          <w:szCs w:val="32"/>
        </w:rPr>
      </w:pPr>
      <w:r w:rsidRPr="00170C89">
        <w:rPr>
          <w:rFonts w:ascii="黑体" w:eastAsia="黑体" w:hint="eastAsia"/>
          <w:color w:val="000000" w:themeColor="text1"/>
          <w:sz w:val="32"/>
          <w:szCs w:val="32"/>
        </w:rPr>
        <w:t>一、本行简介</w:t>
      </w:r>
    </w:p>
    <w:p w:rsidR="003B6511" w:rsidRPr="00170C89" w:rsidRDefault="003B6511" w:rsidP="00170C89">
      <w:pPr>
        <w:spacing w:line="560" w:lineRule="exact"/>
        <w:ind w:firstLineChars="200" w:firstLine="643"/>
        <w:rPr>
          <w:rFonts w:ascii="楷体_GB2312" w:eastAsia="楷体_GB2312"/>
          <w:b/>
          <w:color w:val="000000" w:themeColor="text1"/>
          <w:sz w:val="32"/>
          <w:szCs w:val="32"/>
        </w:rPr>
      </w:pPr>
      <w:r w:rsidRPr="00170C89">
        <w:rPr>
          <w:rFonts w:ascii="楷体_GB2312" w:eastAsia="楷体_GB2312" w:hint="eastAsia"/>
          <w:b/>
          <w:color w:val="000000" w:themeColor="text1"/>
          <w:sz w:val="32"/>
          <w:szCs w:val="32"/>
        </w:rPr>
        <w:t>（一）法定名称</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中文名称：浙江海宁德商村镇银行股份有限公司（简称：海宁德商村镇银行）</w:t>
      </w:r>
    </w:p>
    <w:p w:rsidR="003B6511" w:rsidRPr="00170C89" w:rsidRDefault="003B6511" w:rsidP="00170C89">
      <w:pPr>
        <w:widowControl/>
        <w:shd w:val="clear" w:color="auto" w:fill="FFFFFF"/>
        <w:spacing w:line="560" w:lineRule="exact"/>
        <w:ind w:firstLineChars="200" w:firstLine="640"/>
        <w:rPr>
          <w:rFonts w:ascii="仿宋_GB2312" w:eastAsia="仿宋_GB2312"/>
          <w:color w:val="000000" w:themeColor="text1"/>
          <w:sz w:val="32"/>
          <w:szCs w:val="32"/>
        </w:rPr>
      </w:pPr>
      <w:r w:rsidRPr="00170C89">
        <w:rPr>
          <w:rFonts w:ascii="仿宋_GB2312" w:eastAsia="仿宋_GB2312" w:hAnsi="ˎ̥" w:cs="Tahoma" w:hint="eastAsia"/>
          <w:color w:val="000000" w:themeColor="text1"/>
          <w:kern w:val="0"/>
          <w:sz w:val="32"/>
          <w:szCs w:val="32"/>
        </w:rPr>
        <w:t>英文名称：</w:t>
      </w:r>
      <w:proofErr w:type="spellStart"/>
      <w:r w:rsidRPr="00170C89">
        <w:rPr>
          <w:rFonts w:ascii="仿宋_GB2312" w:eastAsia="仿宋_GB2312" w:hAnsi="ˎ̥" w:cs="Tahoma" w:hint="eastAsia"/>
          <w:color w:val="000000" w:themeColor="text1"/>
          <w:kern w:val="0"/>
          <w:sz w:val="32"/>
          <w:szCs w:val="32"/>
        </w:rPr>
        <w:t>ZheJiang</w:t>
      </w:r>
      <w:proofErr w:type="spellEnd"/>
      <w:r w:rsidRPr="00170C89">
        <w:rPr>
          <w:rFonts w:ascii="仿宋_GB2312" w:eastAsia="仿宋_GB2312" w:hAnsi="ˎ̥" w:cs="Tahoma" w:hint="eastAsia"/>
          <w:color w:val="000000" w:themeColor="text1"/>
          <w:kern w:val="0"/>
          <w:sz w:val="32"/>
          <w:szCs w:val="32"/>
        </w:rPr>
        <w:t xml:space="preserve"> </w:t>
      </w:r>
      <w:proofErr w:type="spellStart"/>
      <w:r w:rsidRPr="00170C89">
        <w:rPr>
          <w:rFonts w:ascii="仿宋_GB2312" w:eastAsia="仿宋_GB2312" w:hAnsi="ˎ̥" w:cs="Tahoma" w:hint="eastAsia"/>
          <w:color w:val="000000" w:themeColor="text1"/>
          <w:kern w:val="0"/>
          <w:sz w:val="32"/>
          <w:szCs w:val="32"/>
        </w:rPr>
        <w:t>HaiNing</w:t>
      </w:r>
      <w:proofErr w:type="spellEnd"/>
      <w:r w:rsidRPr="00170C89">
        <w:rPr>
          <w:rFonts w:ascii="仿宋_GB2312" w:eastAsia="仿宋_GB2312" w:hAnsi="ˎ̥" w:cs="Tahoma" w:hint="eastAsia"/>
          <w:color w:val="000000" w:themeColor="text1"/>
          <w:kern w:val="0"/>
          <w:sz w:val="32"/>
          <w:szCs w:val="32"/>
        </w:rPr>
        <w:t xml:space="preserve"> </w:t>
      </w:r>
      <w:proofErr w:type="spellStart"/>
      <w:r w:rsidRPr="00170C89">
        <w:rPr>
          <w:rFonts w:ascii="仿宋_GB2312" w:eastAsia="仿宋_GB2312" w:hAnsi="ˎ̥" w:cs="Tahoma" w:hint="eastAsia"/>
          <w:color w:val="000000" w:themeColor="text1"/>
          <w:kern w:val="0"/>
          <w:sz w:val="32"/>
          <w:szCs w:val="32"/>
        </w:rPr>
        <w:t>DeShang</w:t>
      </w:r>
      <w:proofErr w:type="spellEnd"/>
      <w:r w:rsidRPr="00170C89">
        <w:rPr>
          <w:rFonts w:ascii="仿宋_GB2312" w:eastAsia="仿宋_GB2312" w:hAnsi="ˎ̥" w:cs="Tahoma" w:hint="eastAsia"/>
          <w:color w:val="000000" w:themeColor="text1"/>
          <w:kern w:val="0"/>
          <w:sz w:val="32"/>
          <w:szCs w:val="32"/>
        </w:rPr>
        <w:t xml:space="preserve"> County Bank </w:t>
      </w:r>
      <w:proofErr w:type="spellStart"/>
      <w:r w:rsidRPr="00170C89">
        <w:rPr>
          <w:rFonts w:ascii="仿宋_GB2312" w:eastAsia="仿宋_GB2312" w:hAnsi="ˎ̥" w:cs="Tahoma" w:hint="eastAsia"/>
          <w:color w:val="000000" w:themeColor="text1"/>
          <w:kern w:val="0"/>
          <w:sz w:val="32"/>
          <w:szCs w:val="32"/>
        </w:rPr>
        <w:t>Co.</w:t>
      </w:r>
      <w:proofErr w:type="gramStart"/>
      <w:r w:rsidRPr="00170C89">
        <w:rPr>
          <w:rFonts w:ascii="仿宋_GB2312" w:eastAsia="仿宋_GB2312" w:hAnsi="ˎ̥" w:cs="Tahoma" w:hint="eastAsia"/>
          <w:color w:val="000000" w:themeColor="text1"/>
          <w:kern w:val="0"/>
          <w:sz w:val="32"/>
          <w:szCs w:val="32"/>
        </w:rPr>
        <w:t>,Ltd</w:t>
      </w:r>
      <w:proofErr w:type="spellEnd"/>
      <w:proofErr w:type="gramEnd"/>
      <w:r w:rsidRPr="00170C89">
        <w:rPr>
          <w:rFonts w:ascii="仿宋_GB2312" w:eastAsia="仿宋_GB2312" w:hAnsi="ˎ̥" w:cs="Tahoma" w:hint="eastAsia"/>
          <w:color w:val="000000" w:themeColor="text1"/>
          <w:kern w:val="0"/>
          <w:sz w:val="32"/>
          <w:szCs w:val="32"/>
        </w:rPr>
        <w:t>.</w:t>
      </w:r>
      <w:r w:rsidRPr="00170C89">
        <w:rPr>
          <w:rFonts w:ascii="仿宋_GB2312" w:eastAsia="仿宋_GB2312" w:hAnsi="仿宋_GB2312" w:cs="宋体" w:hint="eastAsia"/>
          <w:color w:val="000000" w:themeColor="text1"/>
          <w:kern w:val="0"/>
          <w:sz w:val="32"/>
          <w:szCs w:val="32"/>
        </w:rPr>
        <w:t>（简称：</w:t>
      </w:r>
      <w:proofErr w:type="spellStart"/>
      <w:r w:rsidRPr="00170C89">
        <w:rPr>
          <w:rFonts w:ascii="仿宋_GB2312" w:eastAsia="仿宋_GB2312" w:hint="eastAsia"/>
          <w:color w:val="000000" w:themeColor="text1"/>
          <w:sz w:val="32"/>
          <w:szCs w:val="32"/>
        </w:rPr>
        <w:t>HaiNing</w:t>
      </w:r>
      <w:proofErr w:type="spellEnd"/>
      <w:r w:rsidRPr="00170C89">
        <w:rPr>
          <w:rFonts w:ascii="仿宋_GB2312" w:eastAsia="仿宋_GB2312" w:hint="eastAsia"/>
          <w:color w:val="000000" w:themeColor="text1"/>
          <w:sz w:val="32"/>
          <w:szCs w:val="32"/>
        </w:rPr>
        <w:t xml:space="preserve"> </w:t>
      </w:r>
      <w:proofErr w:type="spellStart"/>
      <w:r w:rsidRPr="00170C89">
        <w:rPr>
          <w:rFonts w:ascii="仿宋_GB2312" w:eastAsia="仿宋_GB2312" w:hint="eastAsia"/>
          <w:color w:val="000000" w:themeColor="text1"/>
          <w:sz w:val="32"/>
          <w:szCs w:val="32"/>
        </w:rPr>
        <w:t>DeShang</w:t>
      </w:r>
      <w:proofErr w:type="spellEnd"/>
      <w:r w:rsidRPr="00170C89">
        <w:rPr>
          <w:rFonts w:ascii="仿宋_GB2312" w:eastAsia="仿宋_GB2312" w:hint="eastAsia"/>
          <w:color w:val="000000" w:themeColor="text1"/>
          <w:sz w:val="32"/>
          <w:szCs w:val="32"/>
        </w:rPr>
        <w:t xml:space="preserve"> County Bank或</w:t>
      </w:r>
      <w:proofErr w:type="spellStart"/>
      <w:r w:rsidRPr="00170C89">
        <w:rPr>
          <w:rFonts w:ascii="仿宋_GB2312" w:eastAsia="仿宋_GB2312" w:hint="eastAsia"/>
          <w:color w:val="000000" w:themeColor="text1"/>
          <w:sz w:val="32"/>
          <w:szCs w:val="32"/>
        </w:rPr>
        <w:t>HDCbank</w:t>
      </w:r>
      <w:proofErr w:type="spellEnd"/>
      <w:r w:rsidRPr="00170C89">
        <w:rPr>
          <w:rFonts w:ascii="仿宋_GB2312" w:eastAsia="仿宋_GB2312" w:hint="eastAsia"/>
          <w:color w:val="000000" w:themeColor="text1"/>
          <w:sz w:val="32"/>
          <w:szCs w:val="32"/>
        </w:rPr>
        <w:t>）</w:t>
      </w:r>
    </w:p>
    <w:p w:rsidR="003B6511" w:rsidRPr="00170C89" w:rsidRDefault="003B6511" w:rsidP="00170C89">
      <w:pPr>
        <w:spacing w:line="560" w:lineRule="exact"/>
        <w:ind w:firstLineChars="200" w:firstLine="643"/>
        <w:rPr>
          <w:rFonts w:ascii="仿宋_GB2312" w:eastAsia="仿宋_GB2312" w:hAnsi="ˎ̥" w:cs="Tahoma" w:hint="eastAsia"/>
          <w:color w:val="000000" w:themeColor="text1"/>
          <w:kern w:val="0"/>
          <w:sz w:val="32"/>
          <w:szCs w:val="32"/>
        </w:rPr>
      </w:pPr>
      <w:r w:rsidRPr="00170C89">
        <w:rPr>
          <w:rFonts w:ascii="楷体_GB2312" w:eastAsia="楷体_GB2312" w:hint="eastAsia"/>
          <w:b/>
          <w:color w:val="000000" w:themeColor="text1"/>
          <w:sz w:val="32"/>
          <w:szCs w:val="32"/>
        </w:rPr>
        <w:t>（二）法定代表人：</w:t>
      </w:r>
      <w:r w:rsidRPr="00170C89">
        <w:rPr>
          <w:rFonts w:ascii="仿宋_GB2312" w:eastAsia="仿宋_GB2312" w:hAnsi="ˎ̥" w:cs="Tahoma" w:hint="eastAsia"/>
          <w:color w:val="000000" w:themeColor="text1"/>
          <w:kern w:val="0"/>
          <w:sz w:val="32"/>
          <w:szCs w:val="32"/>
        </w:rPr>
        <w:t>谢学民</w:t>
      </w:r>
    </w:p>
    <w:p w:rsidR="003B6511" w:rsidRPr="00170C89" w:rsidRDefault="003B6511" w:rsidP="00170C89">
      <w:pPr>
        <w:spacing w:line="560" w:lineRule="exact"/>
        <w:ind w:firstLineChars="200" w:firstLine="643"/>
        <w:rPr>
          <w:rFonts w:ascii="仿宋_GB2312" w:eastAsia="仿宋_GB2312" w:hAnsi="ˎ̥" w:cs="Tahoma" w:hint="eastAsia"/>
          <w:color w:val="000000" w:themeColor="text1"/>
          <w:kern w:val="0"/>
          <w:sz w:val="32"/>
          <w:szCs w:val="32"/>
        </w:rPr>
      </w:pPr>
      <w:r w:rsidRPr="00170C89">
        <w:rPr>
          <w:rFonts w:ascii="楷体_GB2312" w:eastAsia="楷体_GB2312" w:hint="eastAsia"/>
          <w:b/>
          <w:color w:val="000000" w:themeColor="text1"/>
          <w:sz w:val="32"/>
          <w:szCs w:val="32"/>
        </w:rPr>
        <w:lastRenderedPageBreak/>
        <w:t>（三）本行注册及办公地址：</w:t>
      </w:r>
      <w:r w:rsidRPr="00170C89">
        <w:rPr>
          <w:rFonts w:ascii="仿宋_GB2312" w:eastAsia="仿宋_GB2312" w:hAnsi="ˎ̥" w:cs="Tahoma" w:hint="eastAsia"/>
          <w:color w:val="000000" w:themeColor="text1"/>
          <w:kern w:val="0"/>
          <w:sz w:val="32"/>
          <w:szCs w:val="32"/>
        </w:rPr>
        <w:t>海宁市海昌南路329-337号。邮政编码：314400</w:t>
      </w:r>
    </w:p>
    <w:p w:rsidR="003B6511" w:rsidRPr="00170C89" w:rsidRDefault="003B6511" w:rsidP="00170C89">
      <w:pPr>
        <w:spacing w:line="560" w:lineRule="exact"/>
        <w:ind w:firstLineChars="200" w:firstLine="643"/>
        <w:rPr>
          <w:rFonts w:ascii="楷体_GB2312" w:eastAsia="楷体_GB2312"/>
          <w:b/>
          <w:color w:val="000000" w:themeColor="text1"/>
          <w:sz w:val="32"/>
          <w:szCs w:val="32"/>
        </w:rPr>
      </w:pPr>
      <w:r w:rsidRPr="00170C89">
        <w:rPr>
          <w:rFonts w:ascii="楷体_GB2312" w:eastAsia="楷体_GB2312" w:hint="eastAsia"/>
          <w:b/>
          <w:color w:val="000000" w:themeColor="text1"/>
          <w:sz w:val="32"/>
          <w:szCs w:val="32"/>
        </w:rPr>
        <w:t>（四）本行选定的信息披露方式：</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年度报告摘要披露网站：http://www.dsczbank.com</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年度报告备置地点：本行综合管理部办公室</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信息披露事务联系人：钱雪飞</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联系电话：（0573）87008050　　传真：（0573）87008050</w:t>
      </w:r>
    </w:p>
    <w:p w:rsidR="003B6511" w:rsidRPr="00170C89" w:rsidRDefault="003B6511" w:rsidP="00170C89">
      <w:pPr>
        <w:spacing w:line="560" w:lineRule="exact"/>
        <w:ind w:firstLineChars="200" w:firstLine="643"/>
        <w:rPr>
          <w:rFonts w:ascii="楷体_GB2312" w:eastAsia="楷体_GB2312"/>
          <w:b/>
          <w:color w:val="000000" w:themeColor="text1"/>
          <w:sz w:val="32"/>
          <w:szCs w:val="32"/>
        </w:rPr>
      </w:pPr>
      <w:r w:rsidRPr="00170C89">
        <w:rPr>
          <w:rFonts w:ascii="楷体_GB2312" w:eastAsia="楷体_GB2312" w:hint="eastAsia"/>
          <w:b/>
          <w:color w:val="000000" w:themeColor="text1"/>
          <w:sz w:val="32"/>
          <w:szCs w:val="32"/>
        </w:rPr>
        <w:t>（五）本行聘请的会计师事务所名称及其住址</w:t>
      </w:r>
    </w:p>
    <w:p w:rsidR="003B6511" w:rsidRPr="00170C89" w:rsidRDefault="003B6511" w:rsidP="00170C89">
      <w:pPr>
        <w:spacing w:line="560" w:lineRule="exact"/>
        <w:ind w:firstLineChars="200" w:firstLine="640"/>
        <w:rPr>
          <w:rFonts w:ascii="仿宋_GB2312" w:eastAsia="仿宋_GB2312" w:hAnsi="ˎ̥" w:cs="Tahoma" w:hint="eastAsia"/>
          <w:color w:val="FF0000"/>
          <w:kern w:val="0"/>
          <w:sz w:val="32"/>
          <w:szCs w:val="32"/>
        </w:rPr>
      </w:pPr>
      <w:r w:rsidRPr="00170C89">
        <w:rPr>
          <w:rFonts w:ascii="仿宋_GB2312" w:eastAsia="仿宋_GB2312" w:hAnsi="ˎ̥" w:cs="Tahoma" w:hint="eastAsia"/>
          <w:kern w:val="0"/>
          <w:sz w:val="32"/>
          <w:szCs w:val="32"/>
        </w:rPr>
        <w:t>名称：</w:t>
      </w:r>
      <w:r w:rsidR="00AD2730" w:rsidRPr="00170C89">
        <w:rPr>
          <w:rFonts w:ascii="仿宋_GB2312" w:eastAsia="仿宋_GB2312" w:hAnsi="ˎ̥" w:cs="Tahoma" w:hint="eastAsia"/>
          <w:kern w:val="0"/>
          <w:sz w:val="32"/>
          <w:szCs w:val="32"/>
        </w:rPr>
        <w:t>浙江普华会计师事务所有限公司</w:t>
      </w:r>
    </w:p>
    <w:p w:rsidR="003B6511" w:rsidRPr="00170C89" w:rsidRDefault="003B6511" w:rsidP="00170C89">
      <w:pPr>
        <w:spacing w:line="560" w:lineRule="exact"/>
        <w:ind w:firstLineChars="200" w:firstLine="640"/>
        <w:rPr>
          <w:rFonts w:ascii="仿宋_GB2312" w:eastAsia="仿宋_GB2312" w:hAnsi="ˎ̥" w:cs="Tahoma" w:hint="eastAsia"/>
          <w:kern w:val="0"/>
          <w:sz w:val="32"/>
          <w:szCs w:val="32"/>
        </w:rPr>
      </w:pPr>
      <w:r w:rsidRPr="00170C89">
        <w:rPr>
          <w:rFonts w:ascii="仿宋_GB2312" w:eastAsia="仿宋_GB2312" w:hAnsi="ˎ̥" w:cs="Tahoma" w:hint="eastAsia"/>
          <w:kern w:val="0"/>
          <w:sz w:val="32"/>
          <w:szCs w:val="32"/>
        </w:rPr>
        <w:t>住</w:t>
      </w:r>
      <w:r w:rsidR="00B9492B" w:rsidRPr="00170C89">
        <w:rPr>
          <w:rFonts w:ascii="仿宋_GB2312" w:eastAsia="仿宋_GB2312" w:hAnsi="ˎ̥" w:cs="Tahoma" w:hint="eastAsia"/>
          <w:kern w:val="0"/>
          <w:sz w:val="32"/>
          <w:szCs w:val="32"/>
        </w:rPr>
        <w:t>所</w:t>
      </w:r>
      <w:r w:rsidRPr="00170C89">
        <w:rPr>
          <w:rFonts w:ascii="仿宋_GB2312" w:eastAsia="仿宋_GB2312" w:hAnsi="ˎ̥" w:cs="Tahoma" w:hint="eastAsia"/>
          <w:kern w:val="0"/>
          <w:sz w:val="32"/>
          <w:szCs w:val="32"/>
        </w:rPr>
        <w:t>：</w:t>
      </w:r>
      <w:r w:rsidR="00AD2730" w:rsidRPr="00170C89">
        <w:rPr>
          <w:rFonts w:ascii="仿宋_GB2312" w:eastAsia="仿宋_GB2312" w:hAnsi="ˎ̥" w:cs="Tahoma" w:hint="eastAsia"/>
          <w:kern w:val="0"/>
          <w:sz w:val="32"/>
          <w:szCs w:val="32"/>
        </w:rPr>
        <w:t>浙江省杭州市西湖区文二路391号西湖国际科技大厦5号楼4层417-421室</w:t>
      </w:r>
    </w:p>
    <w:p w:rsidR="003B6511" w:rsidRPr="00170C89" w:rsidRDefault="003B6511" w:rsidP="00170C89">
      <w:pPr>
        <w:spacing w:line="560" w:lineRule="exact"/>
        <w:ind w:firstLineChars="200" w:firstLine="643"/>
        <w:rPr>
          <w:rFonts w:ascii="楷体_GB2312" w:eastAsia="楷体_GB2312"/>
          <w:b/>
          <w:color w:val="000000" w:themeColor="text1"/>
          <w:sz w:val="32"/>
          <w:szCs w:val="32"/>
        </w:rPr>
      </w:pPr>
      <w:r w:rsidRPr="00170C89">
        <w:rPr>
          <w:rFonts w:ascii="楷体_GB2312" w:eastAsia="楷体_GB2312" w:hint="eastAsia"/>
          <w:b/>
          <w:color w:val="000000" w:themeColor="text1"/>
          <w:sz w:val="32"/>
          <w:szCs w:val="32"/>
        </w:rPr>
        <w:t>（六）其他有关资料：</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金融许可证机构编码：S0057H333040001</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批准成立日期：2014年12月15日</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首次注册登记日期：2014年12月16日</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最近变更注册日期：2016年10月17日</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注册资金：人民币21000万元</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企业法人营业执照统一社会信用代码：91330400325552057T</w:t>
      </w: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127D76" w:rsidRPr="00170C89" w:rsidRDefault="00127D76"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二、本行组织结构</w:t>
      </w: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rect id="_x0000_s2096" style="position:absolute;left:0;text-align:left;margin-left:161.35pt;margin-top:24.35pt;width:120.75pt;height:35.25pt;z-index:251706368" fillcolor="#4f81bd [3204]" strokecolor="#f2f2f2" strokeweight="3pt">
            <v:shadow on="t" type="perspective" color="#243f60 [1604]" opacity=".5" offset="1pt" offset2="-1pt"/>
            <v:textbox>
              <w:txbxContent>
                <w:p w:rsidR="00F62329" w:rsidRPr="00F62329" w:rsidRDefault="00F62329" w:rsidP="00F62329">
                  <w:pPr>
                    <w:jc w:val="center"/>
                    <w:rPr>
                      <w:rFonts w:ascii="仿宋_GB2312" w:eastAsia="仿宋_GB2312"/>
                      <w:b/>
                      <w:color w:val="CCE8CF" w:themeColor="background1"/>
                      <w:sz w:val="28"/>
                      <w:szCs w:val="28"/>
                    </w:rPr>
                  </w:pPr>
                  <w:r w:rsidRPr="00F62329">
                    <w:rPr>
                      <w:rFonts w:ascii="仿宋_GB2312" w:eastAsia="仿宋_GB2312" w:hint="eastAsia"/>
                      <w:b/>
                      <w:color w:val="CCE8CF" w:themeColor="background1"/>
                      <w:sz w:val="28"/>
                      <w:szCs w:val="28"/>
                    </w:rPr>
                    <w:t>股东大会</w:t>
                  </w:r>
                </w:p>
              </w:txbxContent>
            </v:textbox>
          </v:rect>
        </w:pict>
      </w: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shapetype id="_x0000_t32" coordsize="21600,21600" o:spt="32" o:oned="t" path="m,l21600,21600e" filled="f">
            <v:path arrowok="t" fillok="f" o:connecttype="none"/>
            <o:lock v:ext="edit" shapetype="t"/>
          </v:shapetype>
          <v:shape id="_x0000_s2118" type="#_x0000_t32" style="position:absolute;left:0;text-align:left;margin-left:111.1pt;margin-top:20.1pt;width:213pt;height:0;z-index:251726848" o:connectortype="straight"/>
        </w:pict>
      </w:r>
      <w:r>
        <w:rPr>
          <w:rFonts w:ascii="仿宋_GB2312" w:eastAsia="仿宋_GB2312" w:hAnsi="ˎ̥" w:cs="Tahoma" w:hint="eastAsia"/>
          <w:noProof/>
          <w:color w:val="000000" w:themeColor="text1"/>
          <w:kern w:val="0"/>
          <w:sz w:val="30"/>
          <w:szCs w:val="30"/>
        </w:rPr>
        <w:pict>
          <v:shape id="_x0000_s2116" type="#_x0000_t32" style="position:absolute;left:0;text-align:left;margin-left:111.1pt;margin-top:19.35pt;width:0;height:12pt;z-index:251724800" o:connectortype="straight"/>
        </w:pict>
      </w:r>
      <w:r>
        <w:rPr>
          <w:rFonts w:ascii="仿宋_GB2312" w:eastAsia="仿宋_GB2312" w:hAnsi="ˎ̥" w:cs="Tahoma" w:hint="eastAsia"/>
          <w:noProof/>
          <w:color w:val="000000" w:themeColor="text1"/>
          <w:kern w:val="0"/>
          <w:sz w:val="30"/>
          <w:szCs w:val="30"/>
        </w:rPr>
        <w:pict>
          <v:shape id="_x0000_s2117" type="#_x0000_t32" style="position:absolute;left:0;text-align:left;margin-left:324.1pt;margin-top:20.1pt;width:0;height:12pt;z-index:251725824" o:connectortype="straight"/>
        </w:pict>
      </w:r>
      <w:r>
        <w:rPr>
          <w:rFonts w:ascii="仿宋_GB2312" w:eastAsia="仿宋_GB2312" w:hAnsi="ˎ̥" w:cs="Tahoma" w:hint="eastAsia"/>
          <w:noProof/>
          <w:color w:val="000000" w:themeColor="text1"/>
          <w:kern w:val="0"/>
          <w:sz w:val="30"/>
          <w:szCs w:val="30"/>
        </w:rPr>
        <w:pict>
          <v:shape id="_x0000_s2114" type="#_x0000_t32" style="position:absolute;left:0;text-align:left;margin-left:221.35pt;margin-top:7.35pt;width:0;height:12pt;z-index:251723776" o:connectortype="straight"/>
        </w:pict>
      </w: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rect id="_x0000_s2098" style="position:absolute;left:0;text-align:left;margin-left:265.35pt;margin-top:7.85pt;width:120.75pt;height:35.25pt;z-index:251708416" fillcolor="#4f81bd [3204]" strokecolor="#f2f2f2" strokeweight="3pt">
            <v:shadow on="t" type="perspective" color="#243f60 [1604]" opacity=".5" offset="1pt" offset2="-1pt"/>
            <v:textbox>
              <w:txbxContent>
                <w:p w:rsidR="00F62329" w:rsidRPr="00F62329" w:rsidRDefault="00F62329" w:rsidP="00F62329">
                  <w:pPr>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监事会</w:t>
                  </w:r>
                </w:p>
              </w:txbxContent>
            </v:textbox>
          </v:rect>
        </w:pict>
      </w:r>
      <w:r>
        <w:rPr>
          <w:rFonts w:ascii="仿宋_GB2312" w:eastAsia="仿宋_GB2312" w:hAnsi="ˎ̥" w:cs="Tahoma" w:hint="eastAsia"/>
          <w:noProof/>
          <w:color w:val="000000" w:themeColor="text1"/>
          <w:kern w:val="0"/>
          <w:sz w:val="30"/>
          <w:szCs w:val="30"/>
        </w:rPr>
        <w:pict>
          <v:rect id="_x0000_s2097" style="position:absolute;left:0;text-align:left;margin-left:52.6pt;margin-top:7.85pt;width:120.75pt;height:35.25pt;z-index:251707392" fillcolor="#4f81bd [3204]" strokecolor="#f2f2f2" strokeweight="3pt">
            <v:shadow on="t" type="perspective" color="#243f60 [1604]" opacity=".5" offset="1pt" offset2="-1pt"/>
            <v:textbox>
              <w:txbxContent>
                <w:p w:rsidR="00F62329" w:rsidRPr="00F62329" w:rsidRDefault="00F62329" w:rsidP="00F62329">
                  <w:pPr>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董事会</w:t>
                  </w:r>
                </w:p>
              </w:txbxContent>
            </v:textbox>
          </v:rect>
        </w:pict>
      </w: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shape id="_x0000_s2125" type="#_x0000_t32" style="position:absolute;left:0;text-align:left;margin-left:176.35pt;margin-top:1.6pt;width:42.75pt;height:0;z-index:251734016" o:connectortype="straight"/>
        </w:pict>
      </w:r>
      <w:r>
        <w:rPr>
          <w:rFonts w:ascii="仿宋_GB2312" w:eastAsia="仿宋_GB2312" w:hAnsi="ˎ̥" w:cs="Tahoma" w:hint="eastAsia"/>
          <w:noProof/>
          <w:color w:val="000000" w:themeColor="text1"/>
          <w:kern w:val="0"/>
          <w:sz w:val="30"/>
          <w:szCs w:val="30"/>
        </w:rPr>
        <w:pict>
          <v:shape id="_x0000_s2124" type="#_x0000_t32" style="position:absolute;left:0;text-align:left;margin-left:221.35pt;margin-top:1.6pt;width:0;height:76.5pt;z-index:251732992" o:connectortype="straight"/>
        </w:pict>
      </w: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rect id="_x0000_s2100" style="position:absolute;left:0;text-align:left;margin-left:1.6pt;margin-top:12.6pt;width:120.75pt;height:35.25pt;z-index:251710464" fillcolor="#9bbb59 [3206]" strokecolor="#f2f2f2" strokeweight="3pt">
            <v:shadow on="t" type="perspective" color="#4e6128 [1606]" opacity=".5" offset="1pt" offset2="-1pt"/>
            <v:textbox>
              <w:txbxContent>
                <w:p w:rsidR="00F62329" w:rsidRPr="00F62329" w:rsidRDefault="00F62329" w:rsidP="00F62329">
                  <w:pPr>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财务审批委员会</w:t>
                  </w:r>
                </w:p>
              </w:txbxContent>
            </v:textbox>
          </v:rect>
        </w:pict>
      </w: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oval id="_x0000_s2099" style="position:absolute;left:0;text-align:left;margin-left:156.85pt;margin-top:25.1pt;width:139.5pt;height:48pt;z-index:251709440" fillcolor="#4f81bd [3204]" strokecolor="#f2f2f2" strokeweight="3pt">
            <v:shadow on="t" type="perspective" color="#243f60 [1604]" opacity=".5" offset="1pt" offset2="-1pt"/>
            <v:textbox>
              <w:txbxContent>
                <w:p w:rsidR="00F62329" w:rsidRPr="00F62329" w:rsidRDefault="00F62329" w:rsidP="00F62329">
                  <w:pPr>
                    <w:jc w:val="center"/>
                    <w:rPr>
                      <w:rFonts w:ascii="仿宋_GB2312" w:eastAsia="仿宋_GB2312"/>
                      <w:b/>
                      <w:color w:val="CCE8CF" w:themeColor="background1"/>
                      <w:sz w:val="28"/>
                      <w:szCs w:val="28"/>
                    </w:rPr>
                  </w:pPr>
                  <w:r w:rsidRPr="00F62329">
                    <w:rPr>
                      <w:rFonts w:ascii="仿宋_GB2312" w:eastAsia="仿宋_GB2312" w:hint="eastAsia"/>
                      <w:b/>
                      <w:color w:val="CCE8CF" w:themeColor="background1"/>
                      <w:sz w:val="28"/>
                      <w:szCs w:val="28"/>
                    </w:rPr>
                    <w:t>高级管理层</w:t>
                  </w:r>
                </w:p>
              </w:txbxContent>
            </v:textbox>
          </v:oval>
        </w:pict>
      </w:r>
      <w:r>
        <w:rPr>
          <w:rFonts w:ascii="仿宋_GB2312" w:eastAsia="仿宋_GB2312" w:hAnsi="ˎ̥" w:cs="Tahoma" w:hint="eastAsia"/>
          <w:noProof/>
          <w:color w:val="000000" w:themeColor="text1"/>
          <w:kern w:val="0"/>
          <w:sz w:val="30"/>
          <w:szCs w:val="30"/>
        </w:rPr>
        <w:pict>
          <v:shape id="_x0000_s2123" type="#_x0000_t32" style="position:absolute;left:0;text-align:left;margin-left:137.35pt;margin-top:3.35pt;width:0;height:94.5pt;z-index:251731968" o:connectortype="straight"/>
        </w:pict>
      </w:r>
      <w:r>
        <w:rPr>
          <w:rFonts w:ascii="仿宋_GB2312" w:eastAsia="仿宋_GB2312" w:hAnsi="ˎ̥" w:cs="Tahoma" w:hint="eastAsia"/>
          <w:noProof/>
          <w:color w:val="000000" w:themeColor="text1"/>
          <w:kern w:val="0"/>
          <w:sz w:val="30"/>
          <w:szCs w:val="30"/>
        </w:rPr>
        <w:pict>
          <v:shape id="_x0000_s2119" type="#_x0000_t32" style="position:absolute;left:0;text-align:left;margin-left:123.85pt;margin-top:3.35pt;width:13.5pt;height:0;z-index:251727872" o:connectortype="straight"/>
        </w:pict>
      </w: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shape id="_x0000_s2121" type="#_x0000_t32" style="position:absolute;left:0;text-align:left;margin-left:138.85pt;margin-top:21.1pt;width:13.5pt;height:0;z-index:251729920" o:connectortype="straight"/>
        </w:pict>
      </w:r>
      <w:r>
        <w:rPr>
          <w:rFonts w:ascii="仿宋_GB2312" w:eastAsia="仿宋_GB2312" w:hAnsi="ˎ̥" w:cs="Tahoma" w:hint="eastAsia"/>
          <w:noProof/>
          <w:color w:val="000000" w:themeColor="text1"/>
          <w:kern w:val="0"/>
          <w:sz w:val="30"/>
          <w:szCs w:val="30"/>
        </w:rPr>
        <w:pict>
          <v:shape id="_x0000_s2120" type="#_x0000_t32" style="position:absolute;left:0;text-align:left;margin-left:123.85pt;margin-top:21.1pt;width:13.5pt;height:0;z-index:251728896" o:connectortype="straight"/>
        </w:pict>
      </w:r>
      <w:r>
        <w:rPr>
          <w:rFonts w:ascii="仿宋_GB2312" w:eastAsia="仿宋_GB2312" w:hAnsi="ˎ̥" w:cs="Tahoma" w:hint="eastAsia"/>
          <w:noProof/>
          <w:color w:val="000000" w:themeColor="text1"/>
          <w:kern w:val="0"/>
          <w:sz w:val="30"/>
          <w:szCs w:val="30"/>
        </w:rPr>
        <w:pict>
          <v:rect id="_x0000_s2101" style="position:absolute;left:0;text-align:left;margin-left:1.6pt;margin-top:3.1pt;width:120.75pt;height:35.25pt;z-index:251711488" fillcolor="#9bbb59 [3206]" strokecolor="#f2f2f2" strokeweight="3pt">
            <v:shadow on="t" type="perspective" color="#4e6128 [1606]" opacity=".5" offset="1pt" offset2="-1pt"/>
            <v:textbox>
              <w:txbxContent>
                <w:p w:rsidR="00F62329" w:rsidRPr="00F62329" w:rsidRDefault="00F62329" w:rsidP="00F62329">
                  <w:pPr>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授信审批委员会</w:t>
                  </w:r>
                </w:p>
              </w:txbxContent>
            </v:textbox>
          </v:rect>
        </w:pict>
      </w: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shape id="_x0000_s2137" type="#_x0000_t32" style="position:absolute;left:0;text-align:left;margin-left:220.65pt;margin-top:23.1pt;width:0;height:64.5pt;z-index:251746304" o:connectortype="straight"/>
        </w:pict>
      </w:r>
      <w:r>
        <w:rPr>
          <w:rFonts w:ascii="仿宋_GB2312" w:eastAsia="仿宋_GB2312" w:hAnsi="ˎ̥" w:cs="Tahoma" w:hint="eastAsia"/>
          <w:noProof/>
          <w:color w:val="000000" w:themeColor="text1"/>
          <w:kern w:val="0"/>
          <w:sz w:val="30"/>
          <w:szCs w:val="30"/>
        </w:rPr>
        <w:pict>
          <v:rect id="_x0000_s2102" style="position:absolute;left:0;text-align:left;margin-left:-23.9pt;margin-top:23.1pt;width:147.75pt;height:35.25pt;z-index:251712512" fillcolor="#9bbb59 [3206]" strokecolor="#f2f2f2" strokeweight="3pt">
            <v:shadow on="t" type="perspective" color="#4e6128 [1606]" opacity=".5" offset="1pt" offset2="-1pt"/>
            <v:textbox style="mso-next-textbox:#_x0000_s2102">
              <w:txbxContent>
                <w:p w:rsidR="00F62329" w:rsidRPr="00F62329" w:rsidRDefault="00F62329" w:rsidP="00F62329">
                  <w:pPr>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大额集中采购委员会</w:t>
                  </w:r>
                </w:p>
              </w:txbxContent>
            </v:textbox>
          </v:rect>
        </w:pict>
      </w: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shape id="_x0000_s2122" type="#_x0000_t32" style="position:absolute;left:0;text-align:left;margin-left:125.35pt;margin-top:13.85pt;width:13.5pt;height:0;z-index:251730944" o:connectortype="straight"/>
        </w:pict>
      </w: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193A8B" w:rsidP="00DB4478">
      <w:pPr>
        <w:spacing w:line="560" w:lineRule="exact"/>
        <w:rPr>
          <w:rFonts w:ascii="仿宋_GB2312" w:eastAsia="仿宋_GB2312" w:hAnsi="ˎ̥" w:cs="Tahoma" w:hint="eastAsia"/>
          <w:color w:val="000000" w:themeColor="text1"/>
          <w:kern w:val="0"/>
          <w:sz w:val="30"/>
          <w:szCs w:val="30"/>
        </w:rPr>
      </w:pPr>
      <w:r>
        <w:rPr>
          <w:rFonts w:ascii="仿宋_GB2312" w:eastAsia="仿宋_GB2312" w:hAnsi="ˎ̥" w:cs="Tahoma" w:hint="eastAsia"/>
          <w:noProof/>
          <w:color w:val="000000" w:themeColor="text1"/>
          <w:kern w:val="0"/>
          <w:sz w:val="30"/>
          <w:szCs w:val="30"/>
        </w:rPr>
        <w:pict>
          <v:roundrect id="_x0000_s2110" style="position:absolute;left:0;text-align:left;margin-left:306.1pt;margin-top:20.1pt;width:40.5pt;height:123.75pt;z-index:251719680" arcsize="10923f" fillcolor="#8064a2 [3207]" strokecolor="#f2f2f2" strokeweight="3pt">
            <v:shadow on="t" type="perspective" color="#3f3151 [1607]" opacity=".5" offset="1pt" offset2="-1pt"/>
            <v:textbox>
              <w:txbxContent>
                <w:p w:rsidR="001279DC" w:rsidRPr="00F62329" w:rsidRDefault="001279DC" w:rsidP="001279DC">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许村支行</w:t>
                  </w:r>
                </w:p>
              </w:txbxContent>
            </v:textbox>
          </v:roundrect>
        </w:pict>
      </w:r>
      <w:r>
        <w:rPr>
          <w:rFonts w:ascii="仿宋_GB2312" w:eastAsia="仿宋_GB2312" w:hAnsi="ˎ̥" w:cs="Tahoma" w:hint="eastAsia"/>
          <w:noProof/>
          <w:color w:val="000000" w:themeColor="text1"/>
          <w:kern w:val="0"/>
          <w:sz w:val="30"/>
          <w:szCs w:val="30"/>
        </w:rPr>
        <w:pict>
          <v:roundrect id="_x0000_s2113" style="position:absolute;left:0;text-align:left;margin-left:448.6pt;margin-top:23.1pt;width:40.5pt;height:123.75pt;z-index:251722752" arcsize="10923f" fillcolor="#8064a2 [3207]" strokecolor="#f2f2f2" strokeweight="3pt">
            <v:shadow on="t" type="perspective" color="#3f3151 [1607]" opacity=".5" offset="1pt" offset2="-1pt"/>
            <v:textbox>
              <w:txbxContent>
                <w:p w:rsidR="001279DC" w:rsidRPr="00F62329" w:rsidRDefault="001279DC" w:rsidP="001279DC">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斜桥支行</w:t>
                  </w:r>
                </w:p>
              </w:txbxContent>
            </v:textbox>
          </v:roundrect>
        </w:pict>
      </w:r>
      <w:r>
        <w:rPr>
          <w:rFonts w:ascii="仿宋_GB2312" w:eastAsia="仿宋_GB2312" w:hAnsi="ˎ̥" w:cs="Tahoma" w:hint="eastAsia"/>
          <w:noProof/>
          <w:color w:val="000000" w:themeColor="text1"/>
          <w:kern w:val="0"/>
          <w:sz w:val="30"/>
          <w:szCs w:val="30"/>
        </w:rPr>
        <w:pict>
          <v:roundrect id="_x0000_s2112" style="position:absolute;left:0;text-align:left;margin-left:401.35pt;margin-top:21.6pt;width:40.5pt;height:123.75pt;z-index:251721728" arcsize="10923f" fillcolor="#8064a2 [3207]" strokecolor="#f2f2f2" strokeweight="3pt">
            <v:shadow on="t" type="perspective" color="#3f3151 [1607]" opacity=".5" offset="1pt" offset2="-1pt"/>
            <v:textbox>
              <w:txbxContent>
                <w:p w:rsidR="001279DC" w:rsidRPr="00F62329" w:rsidRDefault="001279DC" w:rsidP="001279DC">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长安支行</w:t>
                  </w:r>
                </w:p>
              </w:txbxContent>
            </v:textbox>
          </v:roundrect>
        </w:pict>
      </w:r>
      <w:r>
        <w:rPr>
          <w:rFonts w:ascii="仿宋_GB2312" w:eastAsia="仿宋_GB2312" w:hAnsi="ˎ̥" w:cs="Tahoma" w:hint="eastAsia"/>
          <w:noProof/>
          <w:color w:val="000000" w:themeColor="text1"/>
          <w:kern w:val="0"/>
          <w:sz w:val="30"/>
          <w:szCs w:val="30"/>
        </w:rPr>
        <w:pict>
          <v:shape id="_x0000_s2134" type="#_x0000_t32" style="position:absolute;left:0;text-align:left;margin-left:420.1pt;margin-top:6.6pt;width:0;height:12pt;z-index:251743232" o:connectortype="straight"/>
        </w:pict>
      </w:r>
      <w:r>
        <w:rPr>
          <w:rFonts w:ascii="仿宋_GB2312" w:eastAsia="仿宋_GB2312" w:hAnsi="ˎ̥" w:cs="Tahoma" w:hint="eastAsia"/>
          <w:noProof/>
          <w:color w:val="000000" w:themeColor="text1"/>
          <w:kern w:val="0"/>
          <w:sz w:val="30"/>
          <w:szCs w:val="30"/>
        </w:rPr>
        <w:pict>
          <v:shape id="_x0000_s2133" type="#_x0000_t32" style="position:absolute;left:0;text-align:left;margin-left:372.85pt;margin-top:6.6pt;width:0;height:12pt;z-index:251742208" o:connectortype="straight"/>
        </w:pict>
      </w:r>
      <w:r>
        <w:rPr>
          <w:rFonts w:ascii="仿宋_GB2312" w:eastAsia="仿宋_GB2312" w:hAnsi="ˎ̥" w:cs="Tahoma" w:hint="eastAsia"/>
          <w:noProof/>
          <w:color w:val="000000" w:themeColor="text1"/>
          <w:kern w:val="0"/>
          <w:sz w:val="30"/>
          <w:szCs w:val="30"/>
        </w:rPr>
        <w:pict>
          <v:shape id="_x0000_s2132" type="#_x0000_t32" style="position:absolute;left:0;text-align:left;margin-left:325.6pt;margin-top:6.6pt;width:0;height:12pt;z-index:251741184" o:connectortype="straight"/>
        </w:pict>
      </w:r>
      <w:r>
        <w:rPr>
          <w:rFonts w:ascii="仿宋_GB2312" w:eastAsia="仿宋_GB2312" w:hAnsi="ˎ̥" w:cs="Tahoma" w:hint="eastAsia"/>
          <w:noProof/>
          <w:color w:val="000000" w:themeColor="text1"/>
          <w:kern w:val="0"/>
          <w:sz w:val="30"/>
          <w:szCs w:val="30"/>
        </w:rPr>
        <w:pict>
          <v:shape id="_x0000_s2131" type="#_x0000_t32" style="position:absolute;left:0;text-align:left;margin-left:278.35pt;margin-top:5.85pt;width:0;height:12pt;z-index:251740160" o:connectortype="straight"/>
        </w:pict>
      </w:r>
      <w:r>
        <w:rPr>
          <w:rFonts w:ascii="仿宋_GB2312" w:eastAsia="仿宋_GB2312" w:hAnsi="ˎ̥" w:cs="Tahoma" w:hint="eastAsia"/>
          <w:noProof/>
          <w:color w:val="000000" w:themeColor="text1"/>
          <w:kern w:val="0"/>
          <w:sz w:val="30"/>
          <w:szCs w:val="30"/>
        </w:rPr>
        <w:pict>
          <v:shape id="_x0000_s2130" type="#_x0000_t32" style="position:absolute;left:0;text-align:left;margin-left:229.6pt;margin-top:5.1pt;width:0;height:12pt;z-index:251739136" o:connectortype="straight"/>
        </w:pict>
      </w:r>
      <w:r>
        <w:rPr>
          <w:rFonts w:ascii="仿宋_GB2312" w:eastAsia="仿宋_GB2312" w:hAnsi="ˎ̥" w:cs="Tahoma" w:hint="eastAsia"/>
          <w:noProof/>
          <w:color w:val="000000" w:themeColor="text1"/>
          <w:kern w:val="0"/>
          <w:sz w:val="30"/>
          <w:szCs w:val="30"/>
        </w:rPr>
        <w:pict>
          <v:shape id="_x0000_s2129" type="#_x0000_t32" style="position:absolute;left:0;text-align:left;margin-left:162.85pt;margin-top:4.35pt;width:0;height:12pt;z-index:251738112" o:connectortype="straight"/>
        </w:pict>
      </w:r>
      <w:r>
        <w:rPr>
          <w:rFonts w:ascii="仿宋_GB2312" w:eastAsia="仿宋_GB2312" w:hAnsi="ˎ̥" w:cs="Tahoma" w:hint="eastAsia"/>
          <w:noProof/>
          <w:color w:val="000000" w:themeColor="text1"/>
          <w:kern w:val="0"/>
          <w:sz w:val="30"/>
          <w:szCs w:val="30"/>
        </w:rPr>
        <w:pict>
          <v:shape id="_x0000_s2128" type="#_x0000_t32" style="position:absolute;left:0;text-align:left;margin-left:116.35pt;margin-top:3.6pt;width:0;height:12pt;z-index:251737088" o:connectortype="straight"/>
        </w:pict>
      </w:r>
      <w:r>
        <w:rPr>
          <w:rFonts w:ascii="仿宋_GB2312" w:eastAsia="仿宋_GB2312" w:hAnsi="ˎ̥" w:cs="Tahoma" w:hint="eastAsia"/>
          <w:noProof/>
          <w:color w:val="000000" w:themeColor="text1"/>
          <w:kern w:val="0"/>
          <w:sz w:val="30"/>
          <w:szCs w:val="30"/>
        </w:rPr>
        <w:pict>
          <v:shape id="_x0000_s2127" type="#_x0000_t32" style="position:absolute;left:0;text-align:left;margin-left:67.6pt;margin-top:3.6pt;width:0;height:12pt;z-index:251736064" o:connectortype="straight"/>
        </w:pict>
      </w:r>
      <w:r>
        <w:rPr>
          <w:rFonts w:ascii="仿宋_GB2312" w:eastAsia="仿宋_GB2312" w:hAnsi="ˎ̥" w:cs="Tahoma" w:hint="eastAsia"/>
          <w:noProof/>
          <w:color w:val="000000" w:themeColor="text1"/>
          <w:kern w:val="0"/>
          <w:sz w:val="30"/>
          <w:szCs w:val="30"/>
        </w:rPr>
        <w:pict>
          <v:shape id="_x0000_s2136" type="#_x0000_t32" style="position:absolute;left:0;text-align:left;margin-left:19.6pt;margin-top:3.6pt;width:447pt;height:2.25pt;z-index:251745280" o:connectortype="straight"/>
        </w:pict>
      </w:r>
      <w:r>
        <w:rPr>
          <w:rFonts w:ascii="仿宋_GB2312" w:eastAsia="仿宋_GB2312" w:hAnsi="ˎ̥" w:cs="Tahoma" w:hint="eastAsia"/>
          <w:noProof/>
          <w:color w:val="000000" w:themeColor="text1"/>
          <w:kern w:val="0"/>
          <w:sz w:val="30"/>
          <w:szCs w:val="30"/>
        </w:rPr>
        <w:pict>
          <v:shape id="_x0000_s2135" type="#_x0000_t32" style="position:absolute;left:0;text-align:left;margin-left:466.6pt;margin-top:7.35pt;width:0;height:12pt;z-index:251744256" o:connectortype="straight"/>
        </w:pict>
      </w:r>
      <w:r>
        <w:rPr>
          <w:rFonts w:ascii="仿宋_GB2312" w:eastAsia="仿宋_GB2312" w:hAnsi="ˎ̥" w:cs="Tahoma" w:hint="eastAsia"/>
          <w:noProof/>
          <w:color w:val="000000" w:themeColor="text1"/>
          <w:kern w:val="0"/>
          <w:sz w:val="30"/>
          <w:szCs w:val="30"/>
        </w:rPr>
        <w:pict>
          <v:shape id="_x0000_s2126" type="#_x0000_t32" style="position:absolute;left:0;text-align:left;margin-left:19.6pt;margin-top:3.6pt;width:0;height:12pt;z-index:251735040" o:connectortype="straight"/>
        </w:pict>
      </w:r>
      <w:r>
        <w:rPr>
          <w:rFonts w:ascii="仿宋_GB2312" w:eastAsia="仿宋_GB2312" w:hAnsi="ˎ̥" w:cs="Tahoma" w:hint="eastAsia"/>
          <w:noProof/>
          <w:color w:val="000000" w:themeColor="text1"/>
          <w:kern w:val="0"/>
          <w:sz w:val="30"/>
          <w:szCs w:val="30"/>
        </w:rPr>
        <w:pict>
          <v:roundrect id="_x0000_s2111" style="position:absolute;left:0;text-align:left;margin-left:354.1pt;margin-top:21.6pt;width:40.5pt;height:123.75pt;z-index:251720704" arcsize="10923f" fillcolor="#8064a2 [3207]" strokecolor="#f2f2f2" strokeweight="3pt">
            <v:shadow on="t" type="perspective" color="#3f3151 [1607]" opacity=".5" offset="1pt" offset2="-1pt"/>
            <v:textbox>
              <w:txbxContent>
                <w:p w:rsidR="001279DC" w:rsidRPr="00F62329" w:rsidRDefault="001279DC" w:rsidP="001279DC">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袁花支行</w:t>
                  </w:r>
                </w:p>
              </w:txbxContent>
            </v:textbox>
          </v:roundrect>
        </w:pict>
      </w:r>
      <w:r>
        <w:rPr>
          <w:rFonts w:ascii="仿宋_GB2312" w:eastAsia="仿宋_GB2312" w:hAnsi="ˎ̥" w:cs="Tahoma" w:hint="eastAsia"/>
          <w:noProof/>
          <w:color w:val="000000" w:themeColor="text1"/>
          <w:kern w:val="0"/>
          <w:sz w:val="30"/>
          <w:szCs w:val="30"/>
        </w:rPr>
        <w:pict>
          <v:roundrect id="_x0000_s2109" style="position:absolute;left:0;text-align:left;margin-left:258.85pt;margin-top:20.1pt;width:40.5pt;height:123.75pt;z-index:251718656" arcsize="10923f" fillcolor="#8064a2 [3207]" strokecolor="#f2f2f2" strokeweight="3pt">
            <v:shadow on="t" type="perspective" color="#3f3151 [1607]" opacity=".5" offset="1pt" offset2="-1pt"/>
            <v:textbox>
              <w:txbxContent>
                <w:p w:rsidR="001279DC" w:rsidRPr="00F62329" w:rsidRDefault="001279DC" w:rsidP="001279DC">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盐官支行</w:t>
                  </w:r>
                </w:p>
              </w:txbxContent>
            </v:textbox>
          </v:roundrect>
        </w:pict>
      </w:r>
      <w:r>
        <w:rPr>
          <w:rFonts w:ascii="仿宋_GB2312" w:eastAsia="仿宋_GB2312" w:hAnsi="ˎ̥" w:cs="Tahoma" w:hint="eastAsia"/>
          <w:noProof/>
          <w:color w:val="000000" w:themeColor="text1"/>
          <w:kern w:val="0"/>
          <w:sz w:val="30"/>
          <w:szCs w:val="30"/>
        </w:rPr>
        <w:pict>
          <v:roundrect id="_x0000_s2107" style="position:absolute;left:0;text-align:left;margin-left:210.85pt;margin-top:19.35pt;width:40.5pt;height:123.75pt;z-index:251717632" arcsize="10923f" fillcolor="#8064a2 [3207]" strokecolor="#f2f2f2" strokeweight="3pt">
            <v:shadow on="t" type="perspective" color="#3f3151 [1607]" opacity=".5" offset="1pt" offset2="-1pt"/>
            <v:textbox>
              <w:txbxContent>
                <w:p w:rsidR="001279DC" w:rsidRDefault="001279DC" w:rsidP="00F62329">
                  <w:pPr>
                    <w:spacing w:line="440" w:lineRule="exact"/>
                    <w:jc w:val="center"/>
                    <w:rPr>
                      <w:rFonts w:ascii="仿宋_GB2312" w:eastAsia="仿宋_GB2312"/>
                      <w:b/>
                      <w:color w:val="CCE8CF" w:themeColor="background1"/>
                      <w:sz w:val="28"/>
                      <w:szCs w:val="28"/>
                    </w:rPr>
                  </w:pPr>
                </w:p>
                <w:p w:rsidR="00F62329" w:rsidRPr="00F62329" w:rsidRDefault="00F62329" w:rsidP="00F62329">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营业部</w:t>
                  </w:r>
                </w:p>
              </w:txbxContent>
            </v:textbox>
          </v:roundrect>
        </w:pict>
      </w:r>
      <w:r>
        <w:rPr>
          <w:rFonts w:ascii="仿宋_GB2312" w:eastAsia="仿宋_GB2312" w:hAnsi="ˎ̥" w:cs="Tahoma" w:hint="eastAsia"/>
          <w:noProof/>
          <w:color w:val="000000" w:themeColor="text1"/>
          <w:kern w:val="0"/>
          <w:sz w:val="30"/>
          <w:szCs w:val="30"/>
        </w:rPr>
        <w:pict>
          <v:roundrect id="_x0000_s2106" style="position:absolute;left:0;text-align:left;margin-left:144.1pt;margin-top:18.6pt;width:40.5pt;height:123.75pt;z-index:251716608" arcsize="10923f" fillcolor="#4bacc6 [3208]" strokecolor="#f2f2f2" strokeweight="3pt">
            <v:shadow on="t" type="perspective" color="#205867 [1608]" opacity=".5" offset="1pt" offset2="-1pt"/>
            <v:textbox>
              <w:txbxContent>
                <w:p w:rsidR="00F62329" w:rsidRPr="00F62329" w:rsidRDefault="00F62329" w:rsidP="00F62329">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风险</w:t>
                  </w:r>
                  <w:r w:rsidRPr="00F62329">
                    <w:rPr>
                      <w:rFonts w:ascii="仿宋_GB2312" w:eastAsia="仿宋_GB2312" w:hint="eastAsia"/>
                      <w:b/>
                      <w:color w:val="CCE8CF" w:themeColor="background1"/>
                      <w:sz w:val="28"/>
                      <w:szCs w:val="28"/>
                    </w:rPr>
                    <w:t>管理部</w:t>
                  </w:r>
                </w:p>
              </w:txbxContent>
            </v:textbox>
          </v:roundrect>
        </w:pict>
      </w:r>
      <w:r>
        <w:rPr>
          <w:rFonts w:ascii="仿宋_GB2312" w:eastAsia="仿宋_GB2312" w:hAnsi="ˎ̥" w:cs="Tahoma" w:hint="eastAsia"/>
          <w:noProof/>
          <w:color w:val="000000" w:themeColor="text1"/>
          <w:kern w:val="0"/>
          <w:sz w:val="30"/>
          <w:szCs w:val="30"/>
        </w:rPr>
        <w:pict>
          <v:roundrect id="_x0000_s2105" style="position:absolute;left:0;text-align:left;margin-left:96.85pt;margin-top:17.85pt;width:40.5pt;height:123.75pt;z-index:251715584" arcsize="10923f" fillcolor="#4bacc6 [3208]" strokecolor="#f2f2f2" strokeweight="3pt">
            <v:shadow on="t" type="perspective" color="#205867 [1608]" opacity=".5" offset="1pt" offset2="-1pt"/>
            <v:textbox>
              <w:txbxContent>
                <w:p w:rsidR="00F62329" w:rsidRPr="00F62329" w:rsidRDefault="00F62329" w:rsidP="00F62329">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业务</w:t>
                  </w:r>
                  <w:r w:rsidRPr="00F62329">
                    <w:rPr>
                      <w:rFonts w:ascii="仿宋_GB2312" w:eastAsia="仿宋_GB2312" w:hint="eastAsia"/>
                      <w:b/>
                      <w:color w:val="CCE8CF" w:themeColor="background1"/>
                      <w:sz w:val="28"/>
                      <w:szCs w:val="28"/>
                    </w:rPr>
                    <w:t>管理部</w:t>
                  </w:r>
                </w:p>
              </w:txbxContent>
            </v:textbox>
          </v:roundrect>
        </w:pict>
      </w:r>
      <w:r>
        <w:rPr>
          <w:rFonts w:ascii="仿宋_GB2312" w:eastAsia="仿宋_GB2312" w:hAnsi="ˎ̥" w:cs="Tahoma" w:hint="eastAsia"/>
          <w:noProof/>
          <w:color w:val="000000" w:themeColor="text1"/>
          <w:kern w:val="0"/>
          <w:sz w:val="30"/>
          <w:szCs w:val="30"/>
        </w:rPr>
        <w:pict>
          <v:roundrect id="_x0000_s2104" style="position:absolute;left:0;text-align:left;margin-left:48.85pt;margin-top:17.85pt;width:40.5pt;height:123.75pt;z-index:251714560" arcsize="10923f" fillcolor="#4bacc6 [3208]" strokecolor="#f2f2f2" strokeweight="3pt">
            <v:shadow on="t" type="perspective" color="#205867 [1608]" opacity=".5" offset="1pt" offset2="-1pt"/>
            <v:textbox>
              <w:txbxContent>
                <w:p w:rsidR="00F62329" w:rsidRPr="00F62329" w:rsidRDefault="00F62329" w:rsidP="00F62329">
                  <w:pPr>
                    <w:spacing w:line="440" w:lineRule="exact"/>
                    <w:jc w:val="center"/>
                    <w:rPr>
                      <w:rFonts w:ascii="仿宋_GB2312" w:eastAsia="仿宋_GB2312"/>
                      <w:b/>
                      <w:color w:val="CCE8CF" w:themeColor="background1"/>
                      <w:sz w:val="28"/>
                      <w:szCs w:val="28"/>
                    </w:rPr>
                  </w:pPr>
                  <w:r>
                    <w:rPr>
                      <w:rFonts w:ascii="仿宋_GB2312" w:eastAsia="仿宋_GB2312" w:hint="eastAsia"/>
                      <w:b/>
                      <w:color w:val="CCE8CF" w:themeColor="background1"/>
                      <w:sz w:val="28"/>
                      <w:szCs w:val="28"/>
                    </w:rPr>
                    <w:t>运营</w:t>
                  </w:r>
                  <w:r w:rsidRPr="00F62329">
                    <w:rPr>
                      <w:rFonts w:ascii="仿宋_GB2312" w:eastAsia="仿宋_GB2312" w:hint="eastAsia"/>
                      <w:b/>
                      <w:color w:val="CCE8CF" w:themeColor="background1"/>
                      <w:sz w:val="28"/>
                      <w:szCs w:val="28"/>
                    </w:rPr>
                    <w:t>管理部</w:t>
                  </w:r>
                </w:p>
              </w:txbxContent>
            </v:textbox>
          </v:roundrect>
        </w:pict>
      </w:r>
      <w:r>
        <w:rPr>
          <w:rFonts w:ascii="仿宋_GB2312" w:eastAsia="仿宋_GB2312" w:hAnsi="ˎ̥" w:cs="Tahoma" w:hint="eastAsia"/>
          <w:noProof/>
          <w:color w:val="000000" w:themeColor="text1"/>
          <w:kern w:val="0"/>
          <w:sz w:val="30"/>
          <w:szCs w:val="30"/>
        </w:rPr>
        <w:pict>
          <v:roundrect id="_x0000_s2103" style="position:absolute;left:0;text-align:left;margin-left:1.6pt;margin-top:18.6pt;width:40.5pt;height:123.75pt;z-index:251713536" arcsize="10923f" fillcolor="#4bacc6 [3208]" strokecolor="#f2f2f2" strokeweight="3pt">
            <v:shadow on="t" type="perspective" color="#205867 [1608]" opacity=".5" offset="1pt" offset2="-1pt"/>
            <v:textbox>
              <w:txbxContent>
                <w:p w:rsidR="00F62329" w:rsidRPr="00F62329" w:rsidRDefault="00F62329" w:rsidP="00F62329">
                  <w:pPr>
                    <w:spacing w:line="440" w:lineRule="exact"/>
                    <w:jc w:val="center"/>
                    <w:rPr>
                      <w:rFonts w:ascii="仿宋_GB2312" w:eastAsia="仿宋_GB2312"/>
                      <w:b/>
                      <w:color w:val="CCE8CF" w:themeColor="background1"/>
                      <w:sz w:val="28"/>
                      <w:szCs w:val="28"/>
                    </w:rPr>
                  </w:pPr>
                  <w:r w:rsidRPr="00F62329">
                    <w:rPr>
                      <w:rFonts w:ascii="仿宋_GB2312" w:eastAsia="仿宋_GB2312" w:hint="eastAsia"/>
                      <w:b/>
                      <w:color w:val="CCE8CF" w:themeColor="background1"/>
                      <w:sz w:val="28"/>
                      <w:szCs w:val="28"/>
                    </w:rPr>
                    <w:t>综合管理部</w:t>
                  </w:r>
                </w:p>
              </w:txbxContent>
            </v:textbox>
          </v:roundrect>
        </w:pict>
      </w: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Pr="00CE5B18" w:rsidRDefault="00DB4478" w:rsidP="00DB4478">
      <w:pPr>
        <w:spacing w:line="560" w:lineRule="exact"/>
        <w:rPr>
          <w:rFonts w:ascii="仿宋_GB2312" w:eastAsia="仿宋_GB2312" w:hAnsi="ˎ̥" w:cs="Tahoma" w:hint="eastAsia"/>
          <w:color w:val="000000" w:themeColor="text1"/>
          <w:kern w:val="0"/>
          <w:sz w:val="30"/>
          <w:szCs w:val="30"/>
        </w:rPr>
      </w:pPr>
    </w:p>
    <w:p w:rsidR="003B6511" w:rsidRPr="00495683" w:rsidRDefault="003B6511" w:rsidP="003B6511">
      <w:pPr>
        <w:rPr>
          <w:color w:val="000000" w:themeColor="text1"/>
        </w:rPr>
      </w:pPr>
    </w:p>
    <w:p w:rsidR="003B6511" w:rsidRPr="00170C89" w:rsidRDefault="003B6511" w:rsidP="003B6511">
      <w:pPr>
        <w:spacing w:line="560" w:lineRule="exact"/>
        <w:jc w:val="center"/>
        <w:rPr>
          <w:rFonts w:ascii="黑体" w:eastAsia="黑体" w:hAnsi="宋体" w:cs="Tahoma"/>
          <w:kern w:val="0"/>
          <w:sz w:val="32"/>
          <w:szCs w:val="32"/>
        </w:rPr>
      </w:pPr>
      <w:r w:rsidRPr="00170C89">
        <w:rPr>
          <w:rFonts w:ascii="黑体" w:eastAsia="黑体" w:hAnsi="宋体" w:cs="Tahoma" w:hint="eastAsia"/>
          <w:kern w:val="0"/>
          <w:sz w:val="32"/>
          <w:szCs w:val="32"/>
        </w:rPr>
        <w:t>第三章　会计数据摘要</w:t>
      </w:r>
    </w:p>
    <w:p w:rsidR="003B6511" w:rsidRPr="00170C89" w:rsidRDefault="003B6511" w:rsidP="00170C89">
      <w:pPr>
        <w:spacing w:line="560" w:lineRule="exact"/>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lastRenderedPageBreak/>
        <w:t>一、年度主要利润指标</w:t>
      </w:r>
    </w:p>
    <w:p w:rsidR="003B6511" w:rsidRPr="008B064A" w:rsidRDefault="003B6511" w:rsidP="003B6511">
      <w:pPr>
        <w:jc w:val="right"/>
        <w:rPr>
          <w:rFonts w:ascii="Times New Roman" w:eastAsia="宋体" w:hAnsi="Times New Roman" w:cs="Times New Roman"/>
          <w:color w:val="000000" w:themeColor="text1"/>
          <w:sz w:val="20"/>
          <w:szCs w:val="20"/>
        </w:rPr>
      </w:pPr>
      <w:r w:rsidRPr="008B064A">
        <w:rPr>
          <w:rFonts w:ascii="Times New Roman" w:eastAsia="宋体" w:hAnsi="Times New Roman" w:cs="Times New Roman" w:hint="eastAsia"/>
          <w:color w:val="000000" w:themeColor="text1"/>
          <w:sz w:val="20"/>
          <w:szCs w:val="20"/>
        </w:rPr>
        <w:t>单位：人民币万元、</w:t>
      </w:r>
      <w:r w:rsidRPr="008B064A">
        <w:rPr>
          <w:rFonts w:ascii="Times New Roman" w:eastAsia="宋体" w:hAnsi="Times New Roman" w:cs="Times New Roman" w:hint="eastAsia"/>
          <w:color w:val="000000" w:themeColor="text1"/>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63"/>
        <w:gridCol w:w="1478"/>
        <w:gridCol w:w="1478"/>
        <w:gridCol w:w="1478"/>
        <w:gridCol w:w="1477"/>
      </w:tblGrid>
      <w:tr w:rsidR="003B6511" w:rsidRPr="00495683" w:rsidTr="00B528D0">
        <w:trPr>
          <w:trHeight w:val="50"/>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项目</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236737">
            <w:pPr>
              <w:jc w:val="center"/>
              <w:rPr>
                <w:color w:val="000000" w:themeColor="text1"/>
                <w:sz w:val="20"/>
                <w:szCs w:val="20"/>
              </w:rPr>
            </w:pPr>
            <w:r w:rsidRPr="00495683">
              <w:rPr>
                <w:rFonts w:hint="eastAsia"/>
                <w:color w:val="000000" w:themeColor="text1"/>
                <w:sz w:val="20"/>
                <w:szCs w:val="20"/>
              </w:rPr>
              <w:t>201</w:t>
            </w:r>
            <w:r w:rsidR="00236737">
              <w:rPr>
                <w:rFonts w:hint="eastAsia"/>
                <w:color w:val="000000" w:themeColor="text1"/>
                <w:sz w:val="20"/>
                <w:szCs w:val="20"/>
              </w:rPr>
              <w:t>8</w:t>
            </w:r>
            <w:r w:rsidRPr="00495683">
              <w:rPr>
                <w:rFonts w:hint="eastAsia"/>
                <w:color w:val="000000" w:themeColor="text1"/>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236737">
            <w:pPr>
              <w:jc w:val="center"/>
              <w:rPr>
                <w:color w:val="000000" w:themeColor="text1"/>
                <w:sz w:val="20"/>
                <w:szCs w:val="20"/>
              </w:rPr>
            </w:pPr>
            <w:r w:rsidRPr="00495683">
              <w:rPr>
                <w:rFonts w:hint="eastAsia"/>
                <w:color w:val="000000" w:themeColor="text1"/>
                <w:sz w:val="20"/>
                <w:szCs w:val="20"/>
              </w:rPr>
              <w:t>201</w:t>
            </w:r>
            <w:r w:rsidR="00236737">
              <w:rPr>
                <w:rFonts w:hint="eastAsia"/>
                <w:color w:val="000000" w:themeColor="text1"/>
                <w:sz w:val="20"/>
                <w:szCs w:val="20"/>
              </w:rPr>
              <w:t>7</w:t>
            </w:r>
            <w:r w:rsidRPr="00495683">
              <w:rPr>
                <w:rFonts w:hint="eastAsia"/>
                <w:color w:val="000000" w:themeColor="text1"/>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增减额</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增幅</w:t>
            </w:r>
          </w:p>
        </w:tc>
      </w:tr>
      <w:tr w:rsidR="00236737"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营业收入</w:t>
            </w:r>
          </w:p>
        </w:tc>
        <w:tc>
          <w:tcPr>
            <w:tcW w:w="833" w:type="pct"/>
            <w:tcBorders>
              <w:top w:val="outset" w:sz="6" w:space="0" w:color="auto"/>
              <w:left w:val="outset" w:sz="6" w:space="0" w:color="auto"/>
              <w:bottom w:val="outset" w:sz="6" w:space="0" w:color="auto"/>
              <w:right w:val="outset" w:sz="6" w:space="0" w:color="auto"/>
            </w:tcBorders>
          </w:tcPr>
          <w:p w:rsidR="00236737" w:rsidRPr="00EF08EB" w:rsidRDefault="00EF08EB" w:rsidP="00B528D0">
            <w:pPr>
              <w:jc w:val="center"/>
              <w:rPr>
                <w:sz w:val="20"/>
                <w:szCs w:val="20"/>
              </w:rPr>
            </w:pPr>
            <w:r w:rsidRPr="00EF08EB">
              <w:rPr>
                <w:rFonts w:hint="eastAsia"/>
                <w:sz w:val="20"/>
                <w:szCs w:val="20"/>
              </w:rPr>
              <w:t>3753.57</w:t>
            </w:r>
          </w:p>
        </w:tc>
        <w:tc>
          <w:tcPr>
            <w:tcW w:w="833"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2841.45</w:t>
            </w:r>
          </w:p>
        </w:tc>
        <w:tc>
          <w:tcPr>
            <w:tcW w:w="833"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912.12</w:t>
            </w:r>
          </w:p>
        </w:tc>
        <w:tc>
          <w:tcPr>
            <w:tcW w:w="832"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32.10</w:t>
            </w:r>
          </w:p>
        </w:tc>
      </w:tr>
      <w:tr w:rsidR="00236737"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营业支出</w:t>
            </w:r>
          </w:p>
        </w:tc>
        <w:tc>
          <w:tcPr>
            <w:tcW w:w="833" w:type="pct"/>
            <w:tcBorders>
              <w:top w:val="outset" w:sz="6" w:space="0" w:color="auto"/>
              <w:left w:val="outset" w:sz="6" w:space="0" w:color="auto"/>
              <w:bottom w:val="outset" w:sz="6" w:space="0" w:color="auto"/>
              <w:right w:val="outset" w:sz="6" w:space="0" w:color="auto"/>
            </w:tcBorders>
          </w:tcPr>
          <w:p w:rsidR="00236737" w:rsidRPr="00691910" w:rsidRDefault="00691910" w:rsidP="00B528D0">
            <w:pPr>
              <w:jc w:val="center"/>
              <w:rPr>
                <w:sz w:val="20"/>
                <w:szCs w:val="20"/>
              </w:rPr>
            </w:pPr>
            <w:r w:rsidRPr="00691910">
              <w:rPr>
                <w:rFonts w:hint="eastAsia"/>
                <w:sz w:val="20"/>
                <w:szCs w:val="20"/>
              </w:rPr>
              <w:t>4333.98</w:t>
            </w:r>
          </w:p>
        </w:tc>
        <w:tc>
          <w:tcPr>
            <w:tcW w:w="833"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3728.64</w:t>
            </w:r>
          </w:p>
        </w:tc>
        <w:tc>
          <w:tcPr>
            <w:tcW w:w="833"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605.34</w:t>
            </w:r>
          </w:p>
        </w:tc>
        <w:tc>
          <w:tcPr>
            <w:tcW w:w="832"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16.23</w:t>
            </w:r>
          </w:p>
        </w:tc>
      </w:tr>
      <w:tr w:rsidR="00236737"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营业利润</w:t>
            </w:r>
          </w:p>
        </w:tc>
        <w:tc>
          <w:tcPr>
            <w:tcW w:w="833" w:type="pct"/>
            <w:tcBorders>
              <w:top w:val="outset" w:sz="6" w:space="0" w:color="auto"/>
              <w:left w:val="outset" w:sz="6" w:space="0" w:color="auto"/>
              <w:bottom w:val="outset" w:sz="6" w:space="0" w:color="auto"/>
              <w:right w:val="outset" w:sz="6" w:space="0" w:color="auto"/>
            </w:tcBorders>
          </w:tcPr>
          <w:p w:rsidR="00236737" w:rsidRPr="00691910" w:rsidRDefault="00691910" w:rsidP="00B528D0">
            <w:pPr>
              <w:jc w:val="center"/>
              <w:rPr>
                <w:sz w:val="20"/>
                <w:szCs w:val="20"/>
              </w:rPr>
            </w:pPr>
            <w:r w:rsidRPr="00691910">
              <w:rPr>
                <w:rFonts w:hint="eastAsia"/>
                <w:sz w:val="20"/>
                <w:szCs w:val="20"/>
              </w:rPr>
              <w:t>-580.41</w:t>
            </w:r>
          </w:p>
        </w:tc>
        <w:tc>
          <w:tcPr>
            <w:tcW w:w="833"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-887.19</w:t>
            </w:r>
          </w:p>
        </w:tc>
        <w:tc>
          <w:tcPr>
            <w:tcW w:w="833"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306.78</w:t>
            </w:r>
          </w:p>
        </w:tc>
        <w:tc>
          <w:tcPr>
            <w:tcW w:w="832"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34.58</w:t>
            </w:r>
          </w:p>
        </w:tc>
      </w:tr>
      <w:tr w:rsidR="00236737"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营业外收支净额</w:t>
            </w:r>
          </w:p>
        </w:tc>
        <w:tc>
          <w:tcPr>
            <w:tcW w:w="833" w:type="pct"/>
            <w:tcBorders>
              <w:top w:val="outset" w:sz="6" w:space="0" w:color="auto"/>
              <w:left w:val="outset" w:sz="6" w:space="0" w:color="auto"/>
              <w:bottom w:val="outset" w:sz="6" w:space="0" w:color="auto"/>
              <w:right w:val="outset" w:sz="6" w:space="0" w:color="auto"/>
            </w:tcBorders>
          </w:tcPr>
          <w:p w:rsidR="00236737" w:rsidRPr="0074370E" w:rsidRDefault="0074370E" w:rsidP="00B528D0">
            <w:pPr>
              <w:jc w:val="center"/>
              <w:rPr>
                <w:sz w:val="20"/>
                <w:szCs w:val="20"/>
              </w:rPr>
            </w:pPr>
            <w:r w:rsidRPr="0074370E">
              <w:rPr>
                <w:rFonts w:hint="eastAsia"/>
                <w:sz w:val="20"/>
                <w:szCs w:val="20"/>
              </w:rPr>
              <w:t>1392.52</w:t>
            </w:r>
          </w:p>
        </w:tc>
        <w:tc>
          <w:tcPr>
            <w:tcW w:w="833"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1424.56</w:t>
            </w:r>
          </w:p>
        </w:tc>
        <w:tc>
          <w:tcPr>
            <w:tcW w:w="833"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-32.04</w:t>
            </w:r>
          </w:p>
        </w:tc>
        <w:tc>
          <w:tcPr>
            <w:tcW w:w="832"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-2.25</w:t>
            </w:r>
          </w:p>
        </w:tc>
      </w:tr>
      <w:tr w:rsidR="00236737"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利润总额</w:t>
            </w:r>
          </w:p>
        </w:tc>
        <w:tc>
          <w:tcPr>
            <w:tcW w:w="833" w:type="pct"/>
            <w:tcBorders>
              <w:top w:val="outset" w:sz="6" w:space="0" w:color="auto"/>
              <w:left w:val="outset" w:sz="6" w:space="0" w:color="auto"/>
              <w:bottom w:val="outset" w:sz="6" w:space="0" w:color="auto"/>
              <w:right w:val="outset" w:sz="6" w:space="0" w:color="auto"/>
            </w:tcBorders>
          </w:tcPr>
          <w:p w:rsidR="00236737" w:rsidRPr="0074370E" w:rsidRDefault="0074370E" w:rsidP="00B528D0">
            <w:pPr>
              <w:jc w:val="center"/>
              <w:rPr>
                <w:sz w:val="20"/>
                <w:szCs w:val="20"/>
              </w:rPr>
            </w:pPr>
            <w:r w:rsidRPr="0074370E">
              <w:rPr>
                <w:rFonts w:hint="eastAsia"/>
                <w:sz w:val="20"/>
                <w:szCs w:val="20"/>
              </w:rPr>
              <w:t>812.10</w:t>
            </w:r>
          </w:p>
        </w:tc>
        <w:tc>
          <w:tcPr>
            <w:tcW w:w="833"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537.37</w:t>
            </w:r>
          </w:p>
        </w:tc>
        <w:tc>
          <w:tcPr>
            <w:tcW w:w="833"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274.73</w:t>
            </w:r>
          </w:p>
        </w:tc>
        <w:tc>
          <w:tcPr>
            <w:tcW w:w="832"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51.12</w:t>
            </w:r>
          </w:p>
        </w:tc>
      </w:tr>
      <w:tr w:rsidR="00236737"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减：所得税费用</w:t>
            </w:r>
          </w:p>
        </w:tc>
        <w:tc>
          <w:tcPr>
            <w:tcW w:w="833" w:type="pct"/>
            <w:tcBorders>
              <w:top w:val="outset" w:sz="6" w:space="0" w:color="auto"/>
              <w:left w:val="outset" w:sz="6" w:space="0" w:color="auto"/>
              <w:bottom w:val="outset" w:sz="6" w:space="0" w:color="auto"/>
              <w:right w:val="outset" w:sz="6" w:space="0" w:color="auto"/>
            </w:tcBorders>
          </w:tcPr>
          <w:p w:rsidR="00236737" w:rsidRPr="00F02DC3" w:rsidRDefault="00F02DC3" w:rsidP="00B528D0">
            <w:pPr>
              <w:jc w:val="center"/>
              <w:rPr>
                <w:sz w:val="20"/>
                <w:szCs w:val="20"/>
              </w:rPr>
            </w:pPr>
            <w:r w:rsidRPr="00F02DC3">
              <w:rPr>
                <w:rFonts w:hint="eastAsia"/>
                <w:sz w:val="20"/>
                <w:szCs w:val="20"/>
              </w:rPr>
              <w:t>-257.66</w:t>
            </w:r>
          </w:p>
        </w:tc>
        <w:tc>
          <w:tcPr>
            <w:tcW w:w="833"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-202.33</w:t>
            </w:r>
          </w:p>
        </w:tc>
        <w:tc>
          <w:tcPr>
            <w:tcW w:w="833"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-55.33</w:t>
            </w:r>
          </w:p>
        </w:tc>
        <w:tc>
          <w:tcPr>
            <w:tcW w:w="832" w:type="pct"/>
            <w:tcBorders>
              <w:top w:val="outset" w:sz="6" w:space="0" w:color="auto"/>
              <w:left w:val="outset" w:sz="6" w:space="0" w:color="auto"/>
              <w:bottom w:val="outset" w:sz="6" w:space="0" w:color="auto"/>
              <w:right w:val="outset" w:sz="6" w:space="0" w:color="auto"/>
            </w:tcBorders>
          </w:tcPr>
          <w:p w:rsidR="00236737" w:rsidRPr="00850DC9" w:rsidRDefault="00236737" w:rsidP="00850DC9">
            <w:pPr>
              <w:jc w:val="center"/>
              <w:rPr>
                <w:sz w:val="20"/>
                <w:szCs w:val="20"/>
              </w:rPr>
            </w:pPr>
            <w:r w:rsidRPr="00850DC9">
              <w:rPr>
                <w:rFonts w:hint="eastAsia"/>
                <w:sz w:val="20"/>
                <w:szCs w:val="20"/>
              </w:rPr>
              <w:t>-</w:t>
            </w:r>
            <w:r w:rsidR="00850DC9" w:rsidRPr="00850DC9">
              <w:rPr>
                <w:rFonts w:hint="eastAsia"/>
                <w:sz w:val="20"/>
                <w:szCs w:val="20"/>
              </w:rPr>
              <w:t>27.35</w:t>
            </w:r>
          </w:p>
        </w:tc>
      </w:tr>
      <w:tr w:rsidR="00236737"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净利润</w:t>
            </w:r>
          </w:p>
        </w:tc>
        <w:tc>
          <w:tcPr>
            <w:tcW w:w="833" w:type="pct"/>
            <w:tcBorders>
              <w:top w:val="outset" w:sz="6" w:space="0" w:color="auto"/>
              <w:left w:val="outset" w:sz="6" w:space="0" w:color="auto"/>
              <w:bottom w:val="outset" w:sz="6" w:space="0" w:color="auto"/>
              <w:right w:val="outset" w:sz="6" w:space="0" w:color="auto"/>
            </w:tcBorders>
          </w:tcPr>
          <w:p w:rsidR="00236737" w:rsidRPr="0074370E" w:rsidRDefault="0074370E" w:rsidP="00B528D0">
            <w:pPr>
              <w:jc w:val="center"/>
              <w:rPr>
                <w:sz w:val="20"/>
                <w:szCs w:val="20"/>
              </w:rPr>
            </w:pPr>
            <w:r w:rsidRPr="0074370E">
              <w:rPr>
                <w:rFonts w:hint="eastAsia"/>
                <w:sz w:val="20"/>
                <w:szCs w:val="20"/>
              </w:rPr>
              <w:t>1069.76</w:t>
            </w:r>
          </w:p>
        </w:tc>
        <w:tc>
          <w:tcPr>
            <w:tcW w:w="833"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739.7</w:t>
            </w:r>
          </w:p>
        </w:tc>
        <w:tc>
          <w:tcPr>
            <w:tcW w:w="833"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330.06</w:t>
            </w:r>
          </w:p>
        </w:tc>
        <w:tc>
          <w:tcPr>
            <w:tcW w:w="832" w:type="pct"/>
            <w:tcBorders>
              <w:top w:val="outset" w:sz="6" w:space="0" w:color="auto"/>
              <w:left w:val="outset" w:sz="6" w:space="0" w:color="auto"/>
              <w:bottom w:val="outset" w:sz="6" w:space="0" w:color="auto"/>
              <w:right w:val="outset" w:sz="6" w:space="0" w:color="auto"/>
            </w:tcBorders>
          </w:tcPr>
          <w:p w:rsidR="00236737" w:rsidRPr="00850DC9" w:rsidRDefault="00850DC9" w:rsidP="00B528D0">
            <w:pPr>
              <w:jc w:val="center"/>
              <w:rPr>
                <w:sz w:val="20"/>
                <w:szCs w:val="20"/>
              </w:rPr>
            </w:pPr>
            <w:r w:rsidRPr="00850DC9">
              <w:rPr>
                <w:rFonts w:hint="eastAsia"/>
                <w:sz w:val="20"/>
                <w:szCs w:val="20"/>
              </w:rPr>
              <w:t>44.62</w:t>
            </w:r>
          </w:p>
        </w:tc>
      </w:tr>
    </w:tbl>
    <w:p w:rsidR="003B6511" w:rsidRPr="00E15FB9" w:rsidRDefault="003B6511" w:rsidP="00170C89">
      <w:pPr>
        <w:ind w:firstLineChars="200" w:firstLine="640"/>
        <w:rPr>
          <w:rFonts w:ascii="黑体" w:eastAsia="黑体" w:hAnsi="ˎ̥" w:cs="Tahoma" w:hint="eastAsia"/>
          <w:kern w:val="0"/>
          <w:sz w:val="30"/>
          <w:szCs w:val="30"/>
        </w:rPr>
      </w:pPr>
      <w:r w:rsidRPr="00170C89">
        <w:rPr>
          <w:rFonts w:ascii="黑体" w:eastAsia="黑体" w:hAnsi="ˎ̥" w:cs="Tahoma" w:hint="eastAsia"/>
          <w:kern w:val="0"/>
          <w:sz w:val="32"/>
          <w:szCs w:val="32"/>
        </w:rPr>
        <w:t>二、截止报告期末前2年的主要会计财务数据</w:t>
      </w:r>
    </w:p>
    <w:p w:rsidR="003B6511" w:rsidRPr="008B064A" w:rsidRDefault="003B6511" w:rsidP="003B6511">
      <w:pPr>
        <w:jc w:val="right"/>
        <w:rPr>
          <w:rFonts w:ascii="Times New Roman" w:eastAsia="宋体" w:hAnsi="Times New Roman" w:cs="Times New Roman"/>
          <w:color w:val="000000" w:themeColor="text1"/>
          <w:sz w:val="20"/>
          <w:szCs w:val="20"/>
        </w:rPr>
      </w:pPr>
      <w:r w:rsidRPr="008B064A">
        <w:rPr>
          <w:rFonts w:ascii="Times New Roman" w:eastAsia="宋体" w:hAnsi="Times New Roman" w:cs="Times New Roman" w:hint="eastAsia"/>
          <w:color w:val="000000" w:themeColor="text1"/>
          <w:sz w:val="20"/>
          <w:szCs w:val="20"/>
        </w:rPr>
        <w:t>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58"/>
        <w:gridCol w:w="2408"/>
        <w:gridCol w:w="2408"/>
      </w:tblGrid>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项目</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236737">
            <w:pPr>
              <w:jc w:val="center"/>
              <w:rPr>
                <w:color w:val="000000" w:themeColor="text1"/>
                <w:sz w:val="20"/>
                <w:szCs w:val="20"/>
              </w:rPr>
            </w:pPr>
            <w:r w:rsidRPr="00495683">
              <w:rPr>
                <w:rFonts w:hint="eastAsia"/>
                <w:color w:val="000000" w:themeColor="text1"/>
                <w:sz w:val="20"/>
                <w:szCs w:val="20"/>
              </w:rPr>
              <w:t>201</w:t>
            </w:r>
            <w:r w:rsidR="00236737">
              <w:rPr>
                <w:rFonts w:hint="eastAsia"/>
                <w:color w:val="000000" w:themeColor="text1"/>
                <w:sz w:val="20"/>
                <w:szCs w:val="20"/>
              </w:rPr>
              <w:t>8</w:t>
            </w:r>
            <w:r w:rsidRPr="00495683">
              <w:rPr>
                <w:rFonts w:hint="eastAsia"/>
                <w:color w:val="000000" w:themeColor="text1"/>
                <w:sz w:val="20"/>
                <w:szCs w:val="20"/>
              </w:rPr>
              <w:t>年审计数</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236737">
            <w:pPr>
              <w:jc w:val="center"/>
              <w:rPr>
                <w:color w:val="000000" w:themeColor="text1"/>
                <w:sz w:val="20"/>
                <w:szCs w:val="20"/>
              </w:rPr>
            </w:pPr>
            <w:r w:rsidRPr="00495683">
              <w:rPr>
                <w:rFonts w:hint="eastAsia"/>
                <w:color w:val="000000" w:themeColor="text1"/>
                <w:sz w:val="20"/>
                <w:szCs w:val="20"/>
              </w:rPr>
              <w:t>201</w:t>
            </w:r>
            <w:r w:rsidR="00236737">
              <w:rPr>
                <w:rFonts w:hint="eastAsia"/>
                <w:color w:val="000000" w:themeColor="text1"/>
                <w:sz w:val="20"/>
                <w:szCs w:val="20"/>
              </w:rPr>
              <w:t>7</w:t>
            </w:r>
            <w:r w:rsidRPr="00495683">
              <w:rPr>
                <w:rFonts w:hint="eastAsia"/>
                <w:color w:val="000000" w:themeColor="text1"/>
                <w:sz w:val="20"/>
                <w:szCs w:val="20"/>
              </w:rPr>
              <w:t>年审计数</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总资产</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05735" w:rsidP="00B528D0">
            <w:pPr>
              <w:jc w:val="center"/>
              <w:rPr>
                <w:sz w:val="20"/>
                <w:szCs w:val="20"/>
              </w:rPr>
            </w:pPr>
            <w:r w:rsidRPr="00205735">
              <w:rPr>
                <w:rFonts w:hint="eastAsia"/>
                <w:sz w:val="20"/>
                <w:szCs w:val="20"/>
              </w:rPr>
              <w:t>110588.98</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96750.02</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存款余额</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05735" w:rsidP="00B528D0">
            <w:pPr>
              <w:jc w:val="center"/>
              <w:rPr>
                <w:sz w:val="20"/>
                <w:szCs w:val="20"/>
              </w:rPr>
            </w:pPr>
            <w:r w:rsidRPr="00205735">
              <w:rPr>
                <w:rFonts w:hint="eastAsia"/>
                <w:sz w:val="20"/>
                <w:szCs w:val="20"/>
              </w:rPr>
              <w:t>68652.12</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55168.21</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贷款余额</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05735" w:rsidP="00B528D0">
            <w:pPr>
              <w:jc w:val="center"/>
              <w:rPr>
                <w:sz w:val="20"/>
                <w:szCs w:val="20"/>
              </w:rPr>
            </w:pPr>
            <w:r w:rsidRPr="00205735">
              <w:rPr>
                <w:rFonts w:hint="eastAsia"/>
                <w:sz w:val="20"/>
                <w:szCs w:val="20"/>
              </w:rPr>
              <w:t>89169.30</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76792.5</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股本金</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36737" w:rsidP="00B528D0">
            <w:pPr>
              <w:jc w:val="center"/>
              <w:rPr>
                <w:sz w:val="20"/>
                <w:szCs w:val="20"/>
              </w:rPr>
            </w:pPr>
            <w:r w:rsidRPr="00205735">
              <w:rPr>
                <w:rFonts w:hint="eastAsia"/>
                <w:sz w:val="20"/>
                <w:szCs w:val="20"/>
              </w:rPr>
              <w:t>21000</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21000</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股东权益</w:t>
            </w:r>
            <w:r w:rsidRPr="00495683">
              <w:rPr>
                <w:rFonts w:hint="eastAsia"/>
                <w:color w:val="000000" w:themeColor="text1"/>
                <w:sz w:val="20"/>
                <w:szCs w:val="20"/>
              </w:rPr>
              <w:t>(</w:t>
            </w:r>
            <w:r w:rsidRPr="00495683">
              <w:rPr>
                <w:rFonts w:hint="eastAsia"/>
                <w:color w:val="000000" w:themeColor="text1"/>
                <w:sz w:val="20"/>
                <w:szCs w:val="20"/>
              </w:rPr>
              <w:t>所有者权益）</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05735" w:rsidP="00B528D0">
            <w:pPr>
              <w:jc w:val="center"/>
              <w:rPr>
                <w:sz w:val="20"/>
                <w:szCs w:val="20"/>
              </w:rPr>
            </w:pPr>
            <w:r w:rsidRPr="00205735">
              <w:rPr>
                <w:rFonts w:hint="eastAsia"/>
                <w:sz w:val="20"/>
                <w:szCs w:val="20"/>
              </w:rPr>
              <w:t>19550.13</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19232.89</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每股收益（元）</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05735" w:rsidP="00B528D0">
            <w:pPr>
              <w:jc w:val="center"/>
              <w:rPr>
                <w:sz w:val="20"/>
                <w:szCs w:val="20"/>
              </w:rPr>
            </w:pPr>
            <w:r w:rsidRPr="00205735">
              <w:rPr>
                <w:rFonts w:hint="eastAsia"/>
                <w:sz w:val="20"/>
                <w:szCs w:val="20"/>
              </w:rPr>
              <w:t>0.05</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0.04</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每股净资产（元）</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36737" w:rsidP="00205735">
            <w:pPr>
              <w:jc w:val="center"/>
              <w:rPr>
                <w:sz w:val="20"/>
                <w:szCs w:val="20"/>
              </w:rPr>
            </w:pPr>
            <w:r w:rsidRPr="00205735">
              <w:rPr>
                <w:rFonts w:hint="eastAsia"/>
                <w:sz w:val="20"/>
                <w:szCs w:val="20"/>
              </w:rPr>
              <w:t>0.9</w:t>
            </w:r>
            <w:r w:rsidR="00205735" w:rsidRPr="00205735">
              <w:rPr>
                <w:rFonts w:hint="eastAsia"/>
                <w:sz w:val="20"/>
                <w:szCs w:val="20"/>
              </w:rPr>
              <w:t>3</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236737" w:rsidP="00236737">
            <w:pPr>
              <w:jc w:val="center"/>
              <w:rPr>
                <w:color w:val="000000" w:themeColor="text1"/>
                <w:sz w:val="20"/>
                <w:szCs w:val="20"/>
              </w:rPr>
            </w:pPr>
            <w:r>
              <w:rPr>
                <w:rFonts w:hint="eastAsia"/>
                <w:color w:val="000000" w:themeColor="text1"/>
                <w:sz w:val="20"/>
                <w:szCs w:val="20"/>
              </w:rPr>
              <w:t>0.92</w:t>
            </w:r>
          </w:p>
        </w:tc>
      </w:tr>
      <w:tr w:rsidR="00236737"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236737" w:rsidRPr="00495683" w:rsidRDefault="00236737" w:rsidP="00B528D0">
            <w:pPr>
              <w:jc w:val="center"/>
              <w:rPr>
                <w:color w:val="000000" w:themeColor="text1"/>
                <w:sz w:val="20"/>
                <w:szCs w:val="20"/>
              </w:rPr>
            </w:pPr>
            <w:r w:rsidRPr="00495683">
              <w:rPr>
                <w:rFonts w:hint="eastAsia"/>
                <w:color w:val="000000" w:themeColor="text1"/>
                <w:sz w:val="20"/>
                <w:szCs w:val="20"/>
              </w:rPr>
              <w:t>净资产收益率（</w:t>
            </w:r>
            <w:r w:rsidRPr="00495683">
              <w:rPr>
                <w:rFonts w:hint="eastAsia"/>
                <w:color w:val="000000" w:themeColor="text1"/>
                <w:sz w:val="20"/>
                <w:szCs w:val="20"/>
              </w:rPr>
              <w:t>%</w:t>
            </w:r>
            <w:r w:rsidRPr="00495683">
              <w:rPr>
                <w:rFonts w:hint="eastAsia"/>
                <w:color w:val="000000" w:themeColor="text1"/>
                <w:sz w:val="20"/>
                <w:szCs w:val="20"/>
              </w:rPr>
              <w:t>）</w:t>
            </w:r>
          </w:p>
        </w:tc>
        <w:tc>
          <w:tcPr>
            <w:tcW w:w="1357" w:type="pct"/>
            <w:tcBorders>
              <w:top w:val="outset" w:sz="6" w:space="0" w:color="auto"/>
              <w:left w:val="outset" w:sz="6" w:space="0" w:color="auto"/>
              <w:bottom w:val="outset" w:sz="6" w:space="0" w:color="auto"/>
              <w:right w:val="outset" w:sz="6" w:space="0" w:color="auto"/>
            </w:tcBorders>
          </w:tcPr>
          <w:p w:rsidR="00236737" w:rsidRPr="00205735" w:rsidRDefault="00205735" w:rsidP="00B528D0">
            <w:pPr>
              <w:jc w:val="center"/>
              <w:rPr>
                <w:sz w:val="20"/>
                <w:szCs w:val="20"/>
              </w:rPr>
            </w:pPr>
            <w:r w:rsidRPr="00205735">
              <w:rPr>
                <w:rFonts w:hint="eastAsia"/>
                <w:sz w:val="20"/>
                <w:szCs w:val="20"/>
              </w:rPr>
              <w:t>5.52</w:t>
            </w:r>
          </w:p>
        </w:tc>
        <w:tc>
          <w:tcPr>
            <w:tcW w:w="1357" w:type="pct"/>
            <w:tcBorders>
              <w:top w:val="outset" w:sz="6" w:space="0" w:color="auto"/>
              <w:left w:val="outset" w:sz="6" w:space="0" w:color="auto"/>
              <w:bottom w:val="outset" w:sz="6" w:space="0" w:color="auto"/>
              <w:right w:val="outset" w:sz="6" w:space="0" w:color="auto"/>
            </w:tcBorders>
          </w:tcPr>
          <w:p w:rsidR="00236737" w:rsidRPr="00495683" w:rsidRDefault="00787007" w:rsidP="00236737">
            <w:pPr>
              <w:jc w:val="center"/>
              <w:rPr>
                <w:color w:val="000000" w:themeColor="text1"/>
                <w:sz w:val="20"/>
                <w:szCs w:val="20"/>
              </w:rPr>
            </w:pPr>
            <w:r>
              <w:rPr>
                <w:rFonts w:hint="eastAsia"/>
                <w:color w:val="000000" w:themeColor="text1"/>
                <w:sz w:val="20"/>
                <w:szCs w:val="20"/>
              </w:rPr>
              <w:t>3.92</w:t>
            </w:r>
          </w:p>
        </w:tc>
      </w:tr>
    </w:tbl>
    <w:p w:rsidR="003B6511" w:rsidRPr="00B528D0" w:rsidRDefault="003B6511" w:rsidP="003B6511">
      <w:pPr>
        <w:rPr>
          <w:rFonts w:ascii="仿宋_GB2312" w:eastAsia="仿宋_GB2312" w:hAnsi="宋体" w:cs="Tahoma"/>
          <w:color w:val="000000" w:themeColor="text1"/>
          <w:kern w:val="0"/>
          <w:szCs w:val="21"/>
        </w:rPr>
      </w:pPr>
      <w:r w:rsidRPr="00B528D0">
        <w:rPr>
          <w:rFonts w:ascii="仿宋_GB2312" w:eastAsia="仿宋_GB2312" w:hAnsi="ˎ̥" w:cs="Tahoma" w:hint="eastAsia"/>
          <w:color w:val="000000" w:themeColor="text1"/>
          <w:kern w:val="0"/>
          <w:szCs w:val="21"/>
        </w:rPr>
        <w:t>注：</w:t>
      </w:r>
      <w:r w:rsidRPr="00B528D0">
        <w:rPr>
          <w:rFonts w:ascii="仿宋_GB2312" w:eastAsia="仿宋_GB2312" w:hAnsi="宋体" w:cs="Tahoma" w:hint="eastAsia"/>
          <w:color w:val="000000" w:themeColor="text1"/>
          <w:kern w:val="0"/>
          <w:szCs w:val="21"/>
        </w:rPr>
        <w:t xml:space="preserve">净资产收益率＝净利润/（年初股东权益/2＋年末股东权益/2）×100%。 </w:t>
      </w:r>
    </w:p>
    <w:p w:rsidR="00EA12DC" w:rsidRPr="00170C89" w:rsidRDefault="00EA12DC" w:rsidP="00170C89">
      <w:pPr>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t>三、报告期末主要合</w:t>
      </w:r>
      <w:proofErr w:type="gramStart"/>
      <w:r w:rsidRPr="00170C89">
        <w:rPr>
          <w:rFonts w:ascii="黑体" w:eastAsia="黑体" w:hAnsi="ˎ̥" w:cs="Tahoma" w:hint="eastAsia"/>
          <w:kern w:val="0"/>
          <w:sz w:val="32"/>
          <w:szCs w:val="32"/>
        </w:rPr>
        <w:t>规</w:t>
      </w:r>
      <w:proofErr w:type="gramEnd"/>
      <w:r w:rsidRPr="00170C89">
        <w:rPr>
          <w:rFonts w:ascii="黑体" w:eastAsia="黑体" w:hAnsi="ˎ̥" w:cs="Tahoma" w:hint="eastAsia"/>
          <w:kern w:val="0"/>
          <w:sz w:val="32"/>
          <w:szCs w:val="32"/>
        </w:rPr>
        <w:t>性监管指标</w:t>
      </w:r>
    </w:p>
    <w:p w:rsidR="00EA12DC" w:rsidRDefault="00EA12DC" w:rsidP="00EA12DC">
      <w:pPr>
        <w:wordWrap w:val="0"/>
        <w:jc w:val="right"/>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 xml:space="preserve">  </w:t>
      </w:r>
      <w:r>
        <w:rPr>
          <w:rFonts w:ascii="Times New Roman" w:eastAsia="宋体" w:hAnsi="Times New Roman" w:cs="Times New Roman" w:hint="eastAsia"/>
          <w:color w:val="000000" w:themeColor="text1"/>
          <w:szCs w:val="24"/>
        </w:rPr>
        <w:t>单位：人民币万元、</w:t>
      </w:r>
      <w:r>
        <w:rPr>
          <w:rFonts w:ascii="Times New Roman" w:eastAsia="宋体" w:hAnsi="Times New Roman" w:cs="Times New Roman" w:hint="eastAsia"/>
          <w:color w:val="000000" w:themeColor="text1"/>
          <w:szCs w:val="24"/>
        </w:rPr>
        <w:t>%</w:t>
      </w:r>
    </w:p>
    <w:tbl>
      <w:tblPr>
        <w:tblW w:w="8991" w:type="dxa"/>
        <w:tblCellSpacing w:w="20" w:type="dxa"/>
        <w:tblInd w:w="9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727"/>
        <w:gridCol w:w="2662"/>
        <w:gridCol w:w="1201"/>
        <w:gridCol w:w="1133"/>
        <w:gridCol w:w="1134"/>
        <w:gridCol w:w="1134"/>
      </w:tblGrid>
      <w:tr w:rsidR="00EA12DC" w:rsidTr="00F62329">
        <w:trPr>
          <w:trHeight w:val="323"/>
          <w:tblCellSpacing w:w="20" w:type="dxa"/>
        </w:trPr>
        <w:tc>
          <w:tcPr>
            <w:tcW w:w="1667"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指标分类</w:t>
            </w:r>
          </w:p>
        </w:tc>
        <w:tc>
          <w:tcPr>
            <w:tcW w:w="2622"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指标名称</w:t>
            </w:r>
          </w:p>
        </w:tc>
        <w:tc>
          <w:tcPr>
            <w:tcW w:w="1161"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标准值</w:t>
            </w:r>
          </w:p>
        </w:tc>
        <w:tc>
          <w:tcPr>
            <w:tcW w:w="1093"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2018</w:t>
            </w:r>
            <w:r>
              <w:rPr>
                <w:rFonts w:hint="eastAsia"/>
                <w:color w:val="000000" w:themeColor="text1"/>
                <w:sz w:val="20"/>
                <w:szCs w:val="20"/>
              </w:rPr>
              <w:t>年</w:t>
            </w:r>
          </w:p>
        </w:tc>
        <w:tc>
          <w:tcPr>
            <w:tcW w:w="109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2017</w:t>
            </w:r>
            <w:r>
              <w:rPr>
                <w:rFonts w:hint="eastAsia"/>
                <w:color w:val="000000" w:themeColor="text1"/>
                <w:sz w:val="20"/>
                <w:szCs w:val="20"/>
              </w:rPr>
              <w:t>年</w:t>
            </w:r>
          </w:p>
        </w:tc>
        <w:tc>
          <w:tcPr>
            <w:tcW w:w="107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变动情况</w:t>
            </w:r>
          </w:p>
        </w:tc>
      </w:tr>
      <w:tr w:rsidR="00EA12DC" w:rsidTr="00F62329">
        <w:trPr>
          <w:trHeight w:val="323"/>
          <w:tblCellSpacing w:w="20" w:type="dxa"/>
        </w:trPr>
        <w:tc>
          <w:tcPr>
            <w:tcW w:w="1667" w:type="dxa"/>
            <w:vMerge w:val="restart"/>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资本充足状况</w:t>
            </w:r>
          </w:p>
        </w:tc>
        <w:tc>
          <w:tcPr>
            <w:tcW w:w="2622"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资本充足率</w:t>
            </w:r>
          </w:p>
        </w:tc>
        <w:tc>
          <w:tcPr>
            <w:tcW w:w="1161"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w:t>
            </w:r>
            <w:r>
              <w:rPr>
                <w:rFonts w:hint="eastAsia"/>
                <w:color w:val="000000" w:themeColor="text1"/>
                <w:sz w:val="20"/>
                <w:szCs w:val="20"/>
              </w:rPr>
              <w:t>8</w:t>
            </w:r>
          </w:p>
        </w:tc>
        <w:tc>
          <w:tcPr>
            <w:tcW w:w="1093"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23.8</w:t>
            </w:r>
          </w:p>
        </w:tc>
        <w:tc>
          <w:tcPr>
            <w:tcW w:w="109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25.93</w:t>
            </w:r>
          </w:p>
        </w:tc>
        <w:tc>
          <w:tcPr>
            <w:tcW w:w="107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-2.13</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核心资本充足率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4</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22.64</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24.76</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-2.12</w:t>
            </w:r>
          </w:p>
        </w:tc>
      </w:tr>
      <w:tr w:rsidR="00EA12DC" w:rsidTr="00F62329">
        <w:trPr>
          <w:trHeight w:val="323"/>
          <w:tblCellSpacing w:w="20" w:type="dxa"/>
        </w:trPr>
        <w:tc>
          <w:tcPr>
            <w:tcW w:w="1667" w:type="dxa"/>
            <w:vMerge w:val="restart"/>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资产安全状况</w:t>
            </w:r>
          </w:p>
        </w:tc>
        <w:tc>
          <w:tcPr>
            <w:tcW w:w="2622"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不良贷款率</w:t>
            </w:r>
          </w:p>
        </w:tc>
        <w:tc>
          <w:tcPr>
            <w:tcW w:w="1161"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w:t>
            </w:r>
            <w:r>
              <w:rPr>
                <w:rFonts w:hint="eastAsia"/>
                <w:color w:val="000000" w:themeColor="text1"/>
                <w:sz w:val="20"/>
                <w:szCs w:val="20"/>
              </w:rPr>
              <w:t>5</w:t>
            </w:r>
          </w:p>
        </w:tc>
        <w:tc>
          <w:tcPr>
            <w:tcW w:w="1093"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2.17</w:t>
            </w:r>
          </w:p>
        </w:tc>
        <w:tc>
          <w:tcPr>
            <w:tcW w:w="109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0.50</w:t>
            </w:r>
          </w:p>
        </w:tc>
        <w:tc>
          <w:tcPr>
            <w:tcW w:w="107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1.67</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不良资产率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3</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2.01</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1.24</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0.77</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单一集团客户授信集中度</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15</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2.43</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2.51</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-0.08</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单一客户贷款集中度</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10</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2.43</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2.51</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-0.08</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全部关联度</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50</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贷款损失准备充足率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100</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100</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100</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资产损失准备充足率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100</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100</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100</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拨备覆盖率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100</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162.21</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509.52</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-347.31</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授信集中度</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2.43</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2.51</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-0.08</w:t>
            </w:r>
          </w:p>
        </w:tc>
      </w:tr>
      <w:tr w:rsidR="00EA12DC" w:rsidTr="00F62329">
        <w:trPr>
          <w:trHeight w:val="323"/>
          <w:tblCellSpacing w:w="20" w:type="dxa"/>
        </w:trPr>
        <w:tc>
          <w:tcPr>
            <w:tcW w:w="1667" w:type="dxa"/>
            <w:vMerge w:val="restart"/>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盈利状况</w:t>
            </w:r>
          </w:p>
          <w:p w:rsidR="00EA12DC" w:rsidRDefault="00EA12DC" w:rsidP="00F62329">
            <w:pPr>
              <w:jc w:val="center"/>
              <w:rPr>
                <w:color w:val="000000" w:themeColor="text1"/>
                <w:sz w:val="20"/>
                <w:szCs w:val="20"/>
              </w:rPr>
            </w:pPr>
          </w:p>
        </w:tc>
        <w:tc>
          <w:tcPr>
            <w:tcW w:w="2622"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资产利润率</w:t>
            </w:r>
          </w:p>
        </w:tc>
        <w:tc>
          <w:tcPr>
            <w:tcW w:w="1161"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w:t>
            </w:r>
            <w:r>
              <w:rPr>
                <w:rFonts w:hint="eastAsia"/>
                <w:color w:val="000000" w:themeColor="text1"/>
                <w:sz w:val="20"/>
                <w:szCs w:val="20"/>
              </w:rPr>
              <w:t>0.6</w:t>
            </w:r>
          </w:p>
        </w:tc>
        <w:tc>
          <w:tcPr>
            <w:tcW w:w="1093"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-.03</w:t>
            </w:r>
          </w:p>
        </w:tc>
        <w:tc>
          <w:tcPr>
            <w:tcW w:w="109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-.077</w:t>
            </w:r>
          </w:p>
        </w:tc>
        <w:tc>
          <w:tcPr>
            <w:tcW w:w="107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0.47</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资本利润率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11</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-1.6</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-3.57</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1.97</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成本收入比率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45</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81.15</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90.66</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-9.51</w:t>
            </w:r>
          </w:p>
        </w:tc>
      </w:tr>
      <w:tr w:rsidR="00EA12DC" w:rsidTr="00F62329">
        <w:trPr>
          <w:trHeight w:val="323"/>
          <w:tblCellSpacing w:w="20" w:type="dxa"/>
        </w:trPr>
        <w:tc>
          <w:tcPr>
            <w:tcW w:w="1667" w:type="dxa"/>
            <w:vMerge w:val="restart"/>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流动性状况</w:t>
            </w:r>
          </w:p>
          <w:p w:rsidR="00EA12DC" w:rsidRDefault="00EA12DC" w:rsidP="00F62329">
            <w:pPr>
              <w:jc w:val="center"/>
              <w:rPr>
                <w:color w:val="000000" w:themeColor="text1"/>
                <w:sz w:val="20"/>
                <w:szCs w:val="20"/>
              </w:rPr>
            </w:pPr>
          </w:p>
        </w:tc>
        <w:tc>
          <w:tcPr>
            <w:tcW w:w="2622"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流动性比例</w:t>
            </w:r>
          </w:p>
        </w:tc>
        <w:tc>
          <w:tcPr>
            <w:tcW w:w="1161"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w:t>
            </w:r>
            <w:r>
              <w:rPr>
                <w:rFonts w:hint="eastAsia"/>
                <w:color w:val="000000" w:themeColor="text1"/>
                <w:sz w:val="20"/>
                <w:szCs w:val="20"/>
              </w:rPr>
              <w:t>25</w:t>
            </w:r>
          </w:p>
        </w:tc>
        <w:tc>
          <w:tcPr>
            <w:tcW w:w="1093"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67.13</w:t>
            </w:r>
          </w:p>
        </w:tc>
        <w:tc>
          <w:tcPr>
            <w:tcW w:w="109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109.64</w:t>
            </w:r>
          </w:p>
        </w:tc>
        <w:tc>
          <w:tcPr>
            <w:tcW w:w="1074" w:type="dxa"/>
            <w:shd w:val="clear" w:color="auto" w:fill="auto"/>
            <w:vAlign w:val="center"/>
          </w:tcPr>
          <w:p w:rsidR="00EA12DC" w:rsidRDefault="00EA12DC" w:rsidP="00F62329">
            <w:pPr>
              <w:jc w:val="center"/>
              <w:rPr>
                <w:color w:val="000000" w:themeColor="text1"/>
                <w:sz w:val="20"/>
                <w:szCs w:val="20"/>
              </w:rPr>
            </w:pPr>
            <w:r>
              <w:rPr>
                <w:rFonts w:hint="eastAsia"/>
                <w:color w:val="000000" w:themeColor="text1"/>
                <w:sz w:val="20"/>
                <w:szCs w:val="20"/>
              </w:rPr>
              <w:t>-42.51</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流动性覆盖率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100</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p>
        </w:tc>
        <w:tc>
          <w:tcPr>
            <w:tcW w:w="1094" w:type="dxa"/>
            <w:shd w:val="clear" w:color="auto" w:fill="auto"/>
            <w:vAlign w:val="center"/>
          </w:tcPr>
          <w:p w:rsidR="00EA12DC" w:rsidRDefault="00EA12DC" w:rsidP="00F62329">
            <w:pPr>
              <w:widowControl/>
              <w:jc w:val="center"/>
              <w:rPr>
                <w:color w:val="000000" w:themeColor="text1"/>
                <w:kern w:val="0"/>
                <w:sz w:val="20"/>
                <w:szCs w:val="20"/>
              </w:rPr>
            </w:pPr>
          </w:p>
        </w:tc>
        <w:tc>
          <w:tcPr>
            <w:tcW w:w="1074" w:type="dxa"/>
            <w:shd w:val="clear" w:color="auto" w:fill="auto"/>
            <w:vAlign w:val="center"/>
          </w:tcPr>
          <w:p w:rsidR="00EA12DC" w:rsidRDefault="00EA12DC" w:rsidP="00F62329">
            <w:pPr>
              <w:widowControl/>
              <w:jc w:val="center"/>
              <w:rPr>
                <w:color w:val="000000" w:themeColor="text1"/>
                <w:kern w:val="0"/>
                <w:sz w:val="20"/>
                <w:szCs w:val="20"/>
              </w:rPr>
            </w:pP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proofErr w:type="gramStart"/>
            <w:r>
              <w:rPr>
                <w:rFonts w:hint="eastAsia"/>
                <w:color w:val="000000" w:themeColor="text1"/>
                <w:sz w:val="20"/>
                <w:szCs w:val="20"/>
              </w:rPr>
              <w:t>净稳定</w:t>
            </w:r>
            <w:proofErr w:type="gramEnd"/>
            <w:r>
              <w:rPr>
                <w:rFonts w:hint="eastAsia"/>
                <w:color w:val="000000" w:themeColor="text1"/>
                <w:sz w:val="20"/>
                <w:szCs w:val="20"/>
              </w:rPr>
              <w:t>资金比例</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100</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132.42</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144.8</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-12.38</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超额备付率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3</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1.33</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1.97</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-0.64</w:t>
            </w:r>
          </w:p>
        </w:tc>
      </w:tr>
      <w:tr w:rsidR="00EA12DC" w:rsidTr="00F62329">
        <w:trPr>
          <w:trHeight w:val="323"/>
          <w:tblCellSpacing w:w="20" w:type="dxa"/>
        </w:trPr>
        <w:tc>
          <w:tcPr>
            <w:tcW w:w="1667" w:type="dxa"/>
            <w:vMerge/>
            <w:vAlign w:val="center"/>
          </w:tcPr>
          <w:p w:rsidR="00EA12DC" w:rsidRDefault="00EA12DC" w:rsidP="00F62329">
            <w:pPr>
              <w:widowControl/>
              <w:jc w:val="center"/>
              <w:rPr>
                <w:color w:val="000000" w:themeColor="text1"/>
                <w:kern w:val="0"/>
                <w:sz w:val="20"/>
                <w:szCs w:val="20"/>
              </w:rPr>
            </w:pPr>
          </w:p>
        </w:tc>
        <w:tc>
          <w:tcPr>
            <w:tcW w:w="2622"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sz w:val="20"/>
                <w:szCs w:val="20"/>
              </w:rPr>
              <w:t>存贷比率</w:t>
            </w:r>
          </w:p>
        </w:tc>
        <w:tc>
          <w:tcPr>
            <w:tcW w:w="1161" w:type="dxa"/>
            <w:shd w:val="clear" w:color="auto" w:fill="auto"/>
            <w:vAlign w:val="center"/>
          </w:tcPr>
          <w:p w:rsidR="00EA12DC" w:rsidRDefault="00EA12DC" w:rsidP="00F62329">
            <w:pPr>
              <w:widowControl/>
              <w:jc w:val="center"/>
              <w:rPr>
                <w:rFonts w:ascii="宋体" w:hAnsi="宋体" w:cs="宋体"/>
                <w:color w:val="000000" w:themeColor="text1"/>
                <w:kern w:val="0"/>
                <w:sz w:val="20"/>
                <w:szCs w:val="20"/>
              </w:rPr>
            </w:pPr>
            <w:r>
              <w:rPr>
                <w:rFonts w:hint="eastAsia"/>
                <w:color w:val="000000" w:themeColor="text1"/>
                <w:sz w:val="20"/>
                <w:szCs w:val="20"/>
              </w:rPr>
              <w:t>≤</w:t>
            </w:r>
            <w:r>
              <w:rPr>
                <w:rFonts w:hint="eastAsia"/>
                <w:color w:val="000000" w:themeColor="text1"/>
                <w:sz w:val="20"/>
                <w:szCs w:val="20"/>
              </w:rPr>
              <w:t>75</w:t>
            </w:r>
          </w:p>
        </w:tc>
        <w:tc>
          <w:tcPr>
            <w:tcW w:w="1093"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129.89</w:t>
            </w:r>
          </w:p>
        </w:tc>
        <w:tc>
          <w:tcPr>
            <w:tcW w:w="109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139.2</w:t>
            </w:r>
          </w:p>
        </w:tc>
        <w:tc>
          <w:tcPr>
            <w:tcW w:w="1074" w:type="dxa"/>
            <w:shd w:val="clear" w:color="auto" w:fill="auto"/>
            <w:vAlign w:val="center"/>
          </w:tcPr>
          <w:p w:rsidR="00EA12DC" w:rsidRDefault="00EA12DC" w:rsidP="00F62329">
            <w:pPr>
              <w:widowControl/>
              <w:jc w:val="center"/>
              <w:rPr>
                <w:color w:val="000000" w:themeColor="text1"/>
                <w:kern w:val="0"/>
                <w:sz w:val="20"/>
                <w:szCs w:val="20"/>
              </w:rPr>
            </w:pPr>
            <w:r>
              <w:rPr>
                <w:rFonts w:hint="eastAsia"/>
                <w:color w:val="000000" w:themeColor="text1"/>
                <w:kern w:val="0"/>
                <w:sz w:val="20"/>
                <w:szCs w:val="20"/>
              </w:rPr>
              <w:t>-9.31</w:t>
            </w:r>
          </w:p>
        </w:tc>
      </w:tr>
    </w:tbl>
    <w:p w:rsidR="00EA12DC" w:rsidRDefault="00EA12DC" w:rsidP="00EA12DC">
      <w:pPr>
        <w:spacing w:line="300" w:lineRule="exact"/>
        <w:rPr>
          <w:rFonts w:ascii="仿宋_GB2312" w:eastAsia="仿宋_GB2312" w:hAnsi="Times New Roman" w:cs="Times New Roman"/>
          <w:color w:val="000000" w:themeColor="text1"/>
        </w:rPr>
      </w:pPr>
      <w:r>
        <w:rPr>
          <w:rFonts w:ascii="仿宋_GB2312" w:eastAsia="仿宋_GB2312" w:hAnsi="Times New Roman" w:cs="Times New Roman" w:hint="eastAsia"/>
          <w:color w:val="000000" w:themeColor="text1"/>
        </w:rPr>
        <w:t>注： 资产利润率＝净利润/（年初资产总额/2＋年末资产总额/2）×100%</w:t>
      </w:r>
    </w:p>
    <w:p w:rsidR="00EA12DC" w:rsidRDefault="00EA12DC" w:rsidP="00EA12DC">
      <w:pPr>
        <w:spacing w:line="300" w:lineRule="exact"/>
        <w:ind w:firstLineChars="250" w:firstLine="525"/>
        <w:rPr>
          <w:rFonts w:ascii="仿宋_GB2312" w:eastAsia="仿宋_GB2312" w:hAnsi="Times New Roman" w:cs="Times New Roman"/>
          <w:color w:val="000000" w:themeColor="text1"/>
        </w:rPr>
      </w:pPr>
      <w:r>
        <w:rPr>
          <w:rFonts w:ascii="仿宋_GB2312" w:eastAsia="仿宋_GB2312" w:hAnsi="Times New Roman" w:cs="Times New Roman" w:hint="eastAsia"/>
          <w:color w:val="000000" w:themeColor="text1"/>
        </w:rPr>
        <w:t>资本利润率＝净利润/（年初所有者权益/2＋年末所有者权益/2）×100%</w:t>
      </w:r>
    </w:p>
    <w:p w:rsidR="003B6511" w:rsidRPr="00170C89" w:rsidRDefault="003B6511" w:rsidP="00170C89">
      <w:pPr>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t>四、股东权益变动情况</w:t>
      </w:r>
    </w:p>
    <w:p w:rsidR="003B6511" w:rsidRPr="008B064A" w:rsidRDefault="003B6511" w:rsidP="00B528D0">
      <w:pPr>
        <w:ind w:right="100" w:firstLine="570"/>
        <w:jc w:val="right"/>
        <w:rPr>
          <w:rFonts w:ascii="Times New Roman" w:eastAsia="宋体" w:hAnsi="Times New Roman" w:cs="Times New Roman"/>
          <w:color w:val="000000" w:themeColor="text1"/>
          <w:sz w:val="20"/>
          <w:szCs w:val="20"/>
        </w:rPr>
      </w:pPr>
      <w:r w:rsidRPr="008B064A">
        <w:rPr>
          <w:rFonts w:ascii="Times New Roman" w:eastAsia="宋体" w:hAnsi="Times New Roman" w:cs="Times New Roman" w:hint="eastAsia"/>
          <w:color w:val="000000" w:themeColor="text1"/>
          <w:sz w:val="20"/>
          <w:szCs w:val="20"/>
        </w:rPr>
        <w:t>单位：人民币万元</w:t>
      </w:r>
    </w:p>
    <w:tbl>
      <w:tblPr>
        <w:tblW w:w="493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05"/>
        <w:gridCol w:w="1195"/>
        <w:gridCol w:w="1193"/>
        <w:gridCol w:w="1191"/>
        <w:gridCol w:w="1060"/>
        <w:gridCol w:w="1189"/>
        <w:gridCol w:w="1326"/>
      </w:tblGrid>
      <w:tr w:rsidR="003B6511" w:rsidRPr="00495683" w:rsidTr="00B528D0">
        <w:trPr>
          <w:trHeight w:val="50"/>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项目</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股本</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资本公积</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盈余公积</w:t>
            </w:r>
          </w:p>
        </w:tc>
        <w:tc>
          <w:tcPr>
            <w:tcW w:w="605"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一般准备</w:t>
            </w:r>
          </w:p>
        </w:tc>
        <w:tc>
          <w:tcPr>
            <w:tcW w:w="67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未分配利润</w:t>
            </w:r>
          </w:p>
        </w:tc>
        <w:tc>
          <w:tcPr>
            <w:tcW w:w="7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股东权益合计</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期初数</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6E569C" w:rsidRDefault="006E569C" w:rsidP="00B528D0">
            <w:pPr>
              <w:jc w:val="center"/>
              <w:rPr>
                <w:sz w:val="20"/>
                <w:szCs w:val="20"/>
              </w:rPr>
            </w:pPr>
            <w:r w:rsidRPr="006E569C">
              <w:rPr>
                <w:rFonts w:hint="eastAsia"/>
                <w:sz w:val="20"/>
                <w:szCs w:val="20"/>
              </w:rPr>
              <w:t>1426.59</w:t>
            </w:r>
          </w:p>
        </w:tc>
        <w:tc>
          <w:tcPr>
            <w:tcW w:w="679" w:type="pct"/>
            <w:tcBorders>
              <w:top w:val="outset" w:sz="6" w:space="0" w:color="auto"/>
              <w:left w:val="outset" w:sz="6" w:space="0" w:color="auto"/>
              <w:bottom w:val="outset" w:sz="6" w:space="0" w:color="auto"/>
              <w:right w:val="outset" w:sz="6" w:space="0" w:color="auto"/>
            </w:tcBorders>
          </w:tcPr>
          <w:p w:rsidR="003B6511" w:rsidRPr="001E5141" w:rsidRDefault="001E5141" w:rsidP="00B528D0">
            <w:pPr>
              <w:jc w:val="center"/>
              <w:rPr>
                <w:sz w:val="20"/>
                <w:szCs w:val="20"/>
              </w:rPr>
            </w:pPr>
            <w:r w:rsidRPr="001E5141">
              <w:rPr>
                <w:rFonts w:hint="eastAsia"/>
                <w:sz w:val="20"/>
                <w:szCs w:val="20"/>
              </w:rPr>
              <w:t>-3193.7</w:t>
            </w:r>
          </w:p>
        </w:tc>
        <w:tc>
          <w:tcPr>
            <w:tcW w:w="757" w:type="pct"/>
            <w:tcBorders>
              <w:top w:val="outset" w:sz="6" w:space="0" w:color="auto"/>
              <w:left w:val="outset" w:sz="6" w:space="0" w:color="auto"/>
              <w:bottom w:val="outset" w:sz="6" w:space="0" w:color="auto"/>
              <w:right w:val="outset" w:sz="6" w:space="0" w:color="auto"/>
            </w:tcBorders>
          </w:tcPr>
          <w:p w:rsidR="003B6511" w:rsidRPr="001E5141" w:rsidRDefault="001E5141" w:rsidP="00B528D0">
            <w:pPr>
              <w:jc w:val="center"/>
              <w:rPr>
                <w:sz w:val="20"/>
                <w:szCs w:val="20"/>
              </w:rPr>
            </w:pPr>
            <w:r w:rsidRPr="001E5141">
              <w:rPr>
                <w:rFonts w:hint="eastAsia"/>
                <w:sz w:val="20"/>
                <w:szCs w:val="20"/>
              </w:rPr>
              <w:t>19232.89</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本期增加</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1E5141" w:rsidRDefault="001E5141" w:rsidP="00B528D0">
            <w:pPr>
              <w:jc w:val="center"/>
              <w:rPr>
                <w:sz w:val="20"/>
                <w:szCs w:val="20"/>
              </w:rPr>
            </w:pPr>
            <w:r w:rsidRPr="001E5141">
              <w:rPr>
                <w:rFonts w:hint="eastAsia"/>
                <w:sz w:val="20"/>
                <w:szCs w:val="20"/>
              </w:rPr>
              <w:t>1380.48</w:t>
            </w:r>
          </w:p>
        </w:tc>
        <w:tc>
          <w:tcPr>
            <w:tcW w:w="679" w:type="pct"/>
            <w:tcBorders>
              <w:top w:val="outset" w:sz="6" w:space="0" w:color="auto"/>
              <w:left w:val="outset" w:sz="6" w:space="0" w:color="auto"/>
              <w:bottom w:val="outset" w:sz="6" w:space="0" w:color="auto"/>
              <w:right w:val="outset" w:sz="6" w:space="0" w:color="auto"/>
            </w:tcBorders>
          </w:tcPr>
          <w:p w:rsidR="003B6511" w:rsidRPr="001E5141" w:rsidRDefault="003B6511" w:rsidP="00B528D0">
            <w:pPr>
              <w:jc w:val="center"/>
              <w:rPr>
                <w:sz w:val="20"/>
                <w:szCs w:val="20"/>
              </w:rPr>
            </w:pPr>
            <w:r w:rsidRPr="001E5141">
              <w:rPr>
                <w:rFonts w:hint="eastAsia"/>
                <w:sz w:val="20"/>
                <w:szCs w:val="20"/>
              </w:rPr>
              <w:t>0</w:t>
            </w:r>
          </w:p>
        </w:tc>
        <w:tc>
          <w:tcPr>
            <w:tcW w:w="757" w:type="pct"/>
            <w:tcBorders>
              <w:top w:val="outset" w:sz="6" w:space="0" w:color="auto"/>
              <w:left w:val="outset" w:sz="6" w:space="0" w:color="auto"/>
              <w:bottom w:val="outset" w:sz="6" w:space="0" w:color="auto"/>
              <w:right w:val="outset" w:sz="6" w:space="0" w:color="auto"/>
            </w:tcBorders>
          </w:tcPr>
          <w:p w:rsidR="003B6511" w:rsidRPr="001E5141" w:rsidRDefault="001E5141" w:rsidP="00B528D0">
            <w:pPr>
              <w:jc w:val="center"/>
              <w:rPr>
                <w:sz w:val="20"/>
                <w:szCs w:val="20"/>
              </w:rPr>
            </w:pPr>
            <w:r w:rsidRPr="001E5141">
              <w:rPr>
                <w:rFonts w:hint="eastAsia"/>
                <w:sz w:val="20"/>
                <w:szCs w:val="20"/>
              </w:rPr>
              <w:t>317.24</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本期减少</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1E5141" w:rsidRDefault="001E5141" w:rsidP="00B528D0">
            <w:pPr>
              <w:jc w:val="center"/>
              <w:rPr>
                <w:sz w:val="20"/>
                <w:szCs w:val="20"/>
              </w:rPr>
            </w:pPr>
            <w:r w:rsidRPr="001E5141">
              <w:rPr>
                <w:rFonts w:hint="eastAsia"/>
                <w:sz w:val="20"/>
                <w:szCs w:val="20"/>
              </w:rPr>
              <w:t>752.52</w:t>
            </w:r>
          </w:p>
        </w:tc>
        <w:tc>
          <w:tcPr>
            <w:tcW w:w="679" w:type="pct"/>
            <w:tcBorders>
              <w:top w:val="outset" w:sz="6" w:space="0" w:color="auto"/>
              <w:left w:val="outset" w:sz="6" w:space="0" w:color="auto"/>
              <w:bottom w:val="outset" w:sz="6" w:space="0" w:color="auto"/>
              <w:right w:val="outset" w:sz="6" w:space="0" w:color="auto"/>
            </w:tcBorders>
          </w:tcPr>
          <w:p w:rsidR="003B6511" w:rsidRPr="001E5141" w:rsidRDefault="001E5141" w:rsidP="00B528D0">
            <w:pPr>
              <w:jc w:val="center"/>
              <w:rPr>
                <w:sz w:val="20"/>
                <w:szCs w:val="20"/>
              </w:rPr>
            </w:pPr>
            <w:r w:rsidRPr="001E5141">
              <w:rPr>
                <w:rFonts w:hint="eastAsia"/>
                <w:sz w:val="20"/>
                <w:szCs w:val="20"/>
              </w:rPr>
              <w:t>310.72</w:t>
            </w:r>
          </w:p>
        </w:tc>
        <w:tc>
          <w:tcPr>
            <w:tcW w:w="757" w:type="pct"/>
            <w:tcBorders>
              <w:top w:val="outset" w:sz="6" w:space="0" w:color="auto"/>
              <w:left w:val="outset" w:sz="6" w:space="0" w:color="auto"/>
              <w:bottom w:val="outset" w:sz="6" w:space="0" w:color="auto"/>
              <w:right w:val="outset" w:sz="6" w:space="0" w:color="auto"/>
            </w:tcBorders>
          </w:tcPr>
          <w:p w:rsidR="003B6511" w:rsidRPr="001E5141" w:rsidRDefault="00056C77" w:rsidP="00B528D0">
            <w:pPr>
              <w:jc w:val="center"/>
              <w:rPr>
                <w:sz w:val="20"/>
                <w:szCs w:val="20"/>
              </w:rPr>
            </w:pPr>
            <w:r w:rsidRPr="001E5141">
              <w:rPr>
                <w:rFonts w:hint="eastAsia"/>
                <w:sz w:val="20"/>
                <w:szCs w:val="20"/>
              </w:rPr>
              <w:t>0</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期末数</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6E569C" w:rsidRDefault="006E569C" w:rsidP="00B528D0">
            <w:pPr>
              <w:jc w:val="center"/>
              <w:rPr>
                <w:sz w:val="20"/>
                <w:szCs w:val="20"/>
              </w:rPr>
            </w:pPr>
            <w:r w:rsidRPr="006E569C">
              <w:rPr>
                <w:rFonts w:hint="eastAsia"/>
                <w:sz w:val="20"/>
                <w:szCs w:val="20"/>
              </w:rPr>
              <w:t>2054.56</w:t>
            </w:r>
          </w:p>
        </w:tc>
        <w:tc>
          <w:tcPr>
            <w:tcW w:w="679" w:type="pct"/>
            <w:tcBorders>
              <w:top w:val="outset" w:sz="6" w:space="0" w:color="auto"/>
              <w:left w:val="outset" w:sz="6" w:space="0" w:color="auto"/>
              <w:bottom w:val="outset" w:sz="6" w:space="0" w:color="auto"/>
              <w:right w:val="outset" w:sz="6" w:space="0" w:color="auto"/>
            </w:tcBorders>
          </w:tcPr>
          <w:p w:rsidR="003B6511" w:rsidRPr="001E5141" w:rsidRDefault="003B6511" w:rsidP="001E5141">
            <w:pPr>
              <w:jc w:val="center"/>
              <w:rPr>
                <w:sz w:val="20"/>
                <w:szCs w:val="20"/>
              </w:rPr>
            </w:pPr>
            <w:r w:rsidRPr="001E5141">
              <w:rPr>
                <w:rFonts w:hint="eastAsia"/>
                <w:sz w:val="20"/>
                <w:szCs w:val="20"/>
              </w:rPr>
              <w:t>-</w:t>
            </w:r>
            <w:r w:rsidR="001E5141" w:rsidRPr="001E5141">
              <w:rPr>
                <w:rFonts w:hint="eastAsia"/>
                <w:sz w:val="20"/>
                <w:szCs w:val="20"/>
              </w:rPr>
              <w:t>3504.42</w:t>
            </w:r>
          </w:p>
        </w:tc>
        <w:tc>
          <w:tcPr>
            <w:tcW w:w="757" w:type="pct"/>
            <w:tcBorders>
              <w:top w:val="outset" w:sz="6" w:space="0" w:color="auto"/>
              <w:left w:val="outset" w:sz="6" w:space="0" w:color="auto"/>
              <w:bottom w:val="outset" w:sz="6" w:space="0" w:color="auto"/>
              <w:right w:val="outset" w:sz="6" w:space="0" w:color="auto"/>
            </w:tcBorders>
          </w:tcPr>
          <w:p w:rsidR="003B6511" w:rsidRPr="001E5141" w:rsidRDefault="001E5141" w:rsidP="00B528D0">
            <w:pPr>
              <w:jc w:val="center"/>
              <w:rPr>
                <w:sz w:val="20"/>
                <w:szCs w:val="20"/>
              </w:rPr>
            </w:pPr>
            <w:r w:rsidRPr="001E5141">
              <w:rPr>
                <w:rFonts w:hint="eastAsia"/>
                <w:sz w:val="20"/>
                <w:szCs w:val="20"/>
              </w:rPr>
              <w:t>19550.13</w:t>
            </w:r>
          </w:p>
        </w:tc>
      </w:tr>
    </w:tbl>
    <w:p w:rsidR="003B6511" w:rsidRPr="00170C89" w:rsidRDefault="003B6511" w:rsidP="00170C89">
      <w:pPr>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t>五、关联交易情况</w:t>
      </w:r>
    </w:p>
    <w:p w:rsidR="003B6511" w:rsidRPr="00610B07" w:rsidRDefault="003B6511" w:rsidP="00610B07">
      <w:pPr>
        <w:spacing w:line="560" w:lineRule="exact"/>
        <w:ind w:firstLineChars="200" w:firstLine="640"/>
        <w:rPr>
          <w:rFonts w:ascii="仿宋_GB2312" w:eastAsia="仿宋_GB2312" w:hAnsi="ˎ̥" w:cs="Tahoma" w:hint="eastAsia"/>
          <w:color w:val="000000" w:themeColor="text1"/>
          <w:kern w:val="0"/>
          <w:sz w:val="32"/>
          <w:szCs w:val="32"/>
        </w:rPr>
      </w:pPr>
      <w:proofErr w:type="gramStart"/>
      <w:r w:rsidRPr="00610B07">
        <w:rPr>
          <w:rFonts w:ascii="仿宋_GB2312" w:eastAsia="仿宋_GB2312" w:hAnsi="ˎ̥" w:cs="Tahoma"/>
          <w:color w:val="000000" w:themeColor="text1"/>
          <w:kern w:val="0"/>
          <w:sz w:val="32"/>
          <w:szCs w:val="32"/>
        </w:rPr>
        <w:t>至报告</w:t>
      </w:r>
      <w:proofErr w:type="gramEnd"/>
      <w:r w:rsidRPr="00610B07">
        <w:rPr>
          <w:rFonts w:ascii="仿宋_GB2312" w:eastAsia="仿宋_GB2312" w:hAnsi="ˎ̥" w:cs="Tahoma"/>
          <w:color w:val="000000" w:themeColor="text1"/>
          <w:kern w:val="0"/>
          <w:sz w:val="32"/>
          <w:szCs w:val="32"/>
        </w:rPr>
        <w:t>期末，本行资本净额</w:t>
      </w:r>
      <w:r w:rsidR="000B01ED" w:rsidRPr="00610B07">
        <w:rPr>
          <w:rFonts w:ascii="仿宋_GB2312" w:eastAsia="仿宋_GB2312" w:hAnsi="ˎ̥" w:cs="Tahoma" w:hint="eastAsia"/>
          <w:color w:val="000000" w:themeColor="text1"/>
          <w:kern w:val="0"/>
          <w:sz w:val="32"/>
          <w:szCs w:val="32"/>
        </w:rPr>
        <w:t>20550.47</w:t>
      </w:r>
      <w:r w:rsidRPr="00610B07">
        <w:rPr>
          <w:rFonts w:ascii="仿宋_GB2312" w:eastAsia="仿宋_GB2312" w:hAnsi="ˎ̥" w:cs="Tahoma"/>
          <w:color w:val="000000" w:themeColor="text1"/>
          <w:kern w:val="0"/>
          <w:sz w:val="32"/>
          <w:szCs w:val="32"/>
        </w:rPr>
        <w:t>万元，与股东及其关联方交易余额</w:t>
      </w:r>
      <w:r w:rsidRPr="00610B07">
        <w:rPr>
          <w:rFonts w:ascii="仿宋_GB2312" w:eastAsia="仿宋_GB2312" w:hAnsi="ˎ̥" w:cs="Tahoma" w:hint="eastAsia"/>
          <w:color w:val="000000" w:themeColor="text1"/>
          <w:kern w:val="0"/>
          <w:sz w:val="32"/>
          <w:szCs w:val="32"/>
        </w:rPr>
        <w:t>为</w:t>
      </w:r>
      <w:r w:rsidR="00236737" w:rsidRPr="00610B07">
        <w:rPr>
          <w:rFonts w:ascii="仿宋_GB2312" w:eastAsia="仿宋_GB2312" w:hAnsi="ˎ̥" w:cs="Tahoma" w:hint="eastAsia"/>
          <w:color w:val="000000" w:themeColor="text1"/>
          <w:kern w:val="0"/>
          <w:sz w:val="32"/>
          <w:szCs w:val="32"/>
        </w:rPr>
        <w:t>7582.44万元</w:t>
      </w:r>
      <w:r w:rsidRPr="00610B07">
        <w:rPr>
          <w:rFonts w:ascii="仿宋_GB2312" w:eastAsia="仿宋_GB2312" w:hAnsi="ˎ̥" w:cs="Tahoma"/>
          <w:color w:val="000000" w:themeColor="text1"/>
          <w:kern w:val="0"/>
          <w:sz w:val="32"/>
          <w:szCs w:val="32"/>
        </w:rPr>
        <w:t>。</w:t>
      </w:r>
      <w:proofErr w:type="gramStart"/>
      <w:r w:rsidRPr="00610B07">
        <w:rPr>
          <w:rFonts w:ascii="仿宋_GB2312" w:eastAsia="仿宋_GB2312" w:hAnsi="ˎ̥" w:cs="Tahoma" w:hint="eastAsia"/>
          <w:color w:val="000000" w:themeColor="text1"/>
          <w:kern w:val="0"/>
          <w:sz w:val="32"/>
          <w:szCs w:val="32"/>
        </w:rPr>
        <w:t>至报告</w:t>
      </w:r>
      <w:proofErr w:type="gramEnd"/>
      <w:r w:rsidRPr="00610B07">
        <w:rPr>
          <w:rFonts w:ascii="仿宋_GB2312" w:eastAsia="仿宋_GB2312" w:hAnsi="ˎ̥" w:cs="Tahoma" w:hint="eastAsia"/>
          <w:color w:val="000000" w:themeColor="text1"/>
          <w:kern w:val="0"/>
          <w:sz w:val="32"/>
          <w:szCs w:val="32"/>
        </w:rPr>
        <w:t>期末，本行重大关联方交易</w:t>
      </w:r>
      <w:r w:rsidR="00236737" w:rsidRPr="00610B07">
        <w:rPr>
          <w:rFonts w:ascii="仿宋_GB2312" w:eastAsia="仿宋_GB2312" w:hAnsi="ˎ̥" w:cs="Tahoma" w:hint="eastAsia"/>
          <w:color w:val="000000" w:themeColor="text1"/>
          <w:kern w:val="0"/>
          <w:sz w:val="32"/>
          <w:szCs w:val="32"/>
        </w:rPr>
        <w:t>如下：</w:t>
      </w:r>
    </w:p>
    <w:p w:rsidR="00936850" w:rsidRDefault="00936850" w:rsidP="00936850">
      <w:pPr>
        <w:ind w:firstLine="570"/>
        <w:rPr>
          <w:rFonts w:ascii="仿宋_GB2312" w:eastAsia="仿宋_GB2312" w:hAnsi="ˎ̥" w:cs="Tahoma" w:hint="eastAsia"/>
          <w:color w:val="000000" w:themeColor="text1"/>
          <w:kern w:val="0"/>
          <w:sz w:val="30"/>
          <w:szCs w:val="30"/>
        </w:rPr>
      </w:pPr>
      <w:r>
        <w:rPr>
          <w:rFonts w:ascii="仿宋_GB2312" w:eastAsia="仿宋_GB2312" w:hAnsi="ˎ̥" w:cs="Tahoma" w:hint="eastAsia"/>
          <w:color w:val="000000" w:themeColor="text1"/>
          <w:kern w:val="0"/>
          <w:sz w:val="30"/>
          <w:szCs w:val="30"/>
        </w:rPr>
        <w:t xml:space="preserve">                                            </w:t>
      </w:r>
      <w:r w:rsidRPr="008B064A">
        <w:rPr>
          <w:rFonts w:ascii="Times New Roman" w:eastAsia="宋体" w:hAnsi="Times New Roman" w:cs="Times New Roman" w:hint="eastAsia"/>
          <w:color w:val="000000" w:themeColor="text1"/>
          <w:sz w:val="20"/>
          <w:szCs w:val="20"/>
        </w:rPr>
        <w:t>单位：人民币万元</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0"/>
        <w:gridCol w:w="1842"/>
        <w:gridCol w:w="1560"/>
        <w:gridCol w:w="1984"/>
        <w:gridCol w:w="1279"/>
      </w:tblGrid>
      <w:tr w:rsidR="00236737" w:rsidTr="00936850">
        <w:trPr>
          <w:trHeight w:val="297"/>
        </w:trPr>
        <w:tc>
          <w:tcPr>
            <w:tcW w:w="2020" w:type="dxa"/>
          </w:tcPr>
          <w:p w:rsidR="00236737" w:rsidRPr="00236737" w:rsidRDefault="00236737" w:rsidP="00936850">
            <w:pPr>
              <w:jc w:val="center"/>
              <w:rPr>
                <w:color w:val="000000" w:themeColor="text1"/>
                <w:sz w:val="20"/>
                <w:szCs w:val="20"/>
              </w:rPr>
            </w:pPr>
            <w:r w:rsidRPr="00236737">
              <w:rPr>
                <w:rFonts w:hint="eastAsia"/>
                <w:color w:val="000000" w:themeColor="text1"/>
                <w:sz w:val="20"/>
                <w:szCs w:val="20"/>
              </w:rPr>
              <w:t>关联方名称</w:t>
            </w:r>
          </w:p>
        </w:tc>
        <w:tc>
          <w:tcPr>
            <w:tcW w:w="1842" w:type="dxa"/>
          </w:tcPr>
          <w:p w:rsidR="00236737" w:rsidRPr="00936850" w:rsidRDefault="00936850" w:rsidP="00936850">
            <w:pPr>
              <w:jc w:val="center"/>
              <w:rPr>
                <w:color w:val="000000" w:themeColor="text1"/>
                <w:sz w:val="20"/>
                <w:szCs w:val="20"/>
              </w:rPr>
            </w:pPr>
            <w:r w:rsidRPr="00936850">
              <w:rPr>
                <w:rFonts w:hint="eastAsia"/>
                <w:color w:val="000000" w:themeColor="text1"/>
                <w:sz w:val="20"/>
                <w:szCs w:val="20"/>
              </w:rPr>
              <w:t>交易类型</w:t>
            </w:r>
          </w:p>
        </w:tc>
        <w:tc>
          <w:tcPr>
            <w:tcW w:w="1560" w:type="dxa"/>
          </w:tcPr>
          <w:p w:rsidR="00236737" w:rsidRPr="00936850" w:rsidRDefault="00936850" w:rsidP="00936850">
            <w:pPr>
              <w:jc w:val="center"/>
              <w:rPr>
                <w:color w:val="000000" w:themeColor="text1"/>
                <w:sz w:val="20"/>
                <w:szCs w:val="20"/>
              </w:rPr>
            </w:pPr>
            <w:r w:rsidRPr="00936850">
              <w:rPr>
                <w:rFonts w:hint="eastAsia"/>
                <w:color w:val="000000" w:themeColor="text1"/>
                <w:sz w:val="20"/>
                <w:szCs w:val="20"/>
              </w:rPr>
              <w:t>交易金额</w:t>
            </w:r>
          </w:p>
        </w:tc>
        <w:tc>
          <w:tcPr>
            <w:tcW w:w="1984" w:type="dxa"/>
          </w:tcPr>
          <w:p w:rsidR="00236737" w:rsidRPr="00936850" w:rsidRDefault="00936850" w:rsidP="00936850">
            <w:pPr>
              <w:jc w:val="center"/>
              <w:rPr>
                <w:color w:val="000000" w:themeColor="text1"/>
                <w:sz w:val="20"/>
                <w:szCs w:val="20"/>
              </w:rPr>
            </w:pPr>
            <w:r w:rsidRPr="00936850">
              <w:rPr>
                <w:rFonts w:hint="eastAsia"/>
                <w:color w:val="000000" w:themeColor="text1"/>
                <w:sz w:val="20"/>
                <w:szCs w:val="20"/>
              </w:rPr>
              <w:t>占资本净额的比例</w:t>
            </w:r>
          </w:p>
        </w:tc>
        <w:tc>
          <w:tcPr>
            <w:tcW w:w="1279" w:type="dxa"/>
          </w:tcPr>
          <w:p w:rsidR="00236737" w:rsidRPr="00936850" w:rsidRDefault="00936850" w:rsidP="00936850">
            <w:pPr>
              <w:jc w:val="center"/>
              <w:rPr>
                <w:color w:val="000000" w:themeColor="text1"/>
                <w:sz w:val="20"/>
                <w:szCs w:val="20"/>
              </w:rPr>
            </w:pPr>
            <w:r w:rsidRPr="00936850">
              <w:rPr>
                <w:rFonts w:hint="eastAsia"/>
                <w:color w:val="000000" w:themeColor="text1"/>
                <w:sz w:val="20"/>
                <w:szCs w:val="20"/>
              </w:rPr>
              <w:t>备注</w:t>
            </w:r>
          </w:p>
        </w:tc>
      </w:tr>
      <w:tr w:rsidR="00936850" w:rsidTr="00936850">
        <w:trPr>
          <w:trHeight w:val="259"/>
        </w:trPr>
        <w:tc>
          <w:tcPr>
            <w:tcW w:w="2020" w:type="dxa"/>
            <w:vMerge w:val="restart"/>
          </w:tcPr>
          <w:p w:rsidR="00936850" w:rsidRPr="00936850" w:rsidRDefault="00936850" w:rsidP="00936850">
            <w:pPr>
              <w:ind w:leftChars="48" w:left="101"/>
              <w:rPr>
                <w:color w:val="000000" w:themeColor="text1"/>
                <w:sz w:val="20"/>
                <w:szCs w:val="20"/>
              </w:rPr>
            </w:pPr>
            <w:r>
              <w:rPr>
                <w:rFonts w:hint="eastAsia"/>
                <w:color w:val="000000" w:themeColor="text1"/>
                <w:sz w:val="20"/>
                <w:szCs w:val="20"/>
              </w:rPr>
              <w:t>浙江德清农村商业银行股份有限公司</w:t>
            </w:r>
          </w:p>
        </w:tc>
        <w:tc>
          <w:tcPr>
            <w:tcW w:w="1842" w:type="dxa"/>
          </w:tcPr>
          <w:p w:rsidR="00936850" w:rsidRPr="00936850" w:rsidRDefault="00936850" w:rsidP="00936850">
            <w:pPr>
              <w:jc w:val="center"/>
              <w:rPr>
                <w:color w:val="000000" w:themeColor="text1"/>
                <w:sz w:val="20"/>
                <w:szCs w:val="20"/>
              </w:rPr>
            </w:pPr>
            <w:r>
              <w:rPr>
                <w:rFonts w:hint="eastAsia"/>
                <w:color w:val="000000" w:themeColor="text1"/>
                <w:sz w:val="20"/>
                <w:szCs w:val="20"/>
              </w:rPr>
              <w:t>存放同业款项</w:t>
            </w:r>
          </w:p>
        </w:tc>
        <w:tc>
          <w:tcPr>
            <w:tcW w:w="1560" w:type="dxa"/>
          </w:tcPr>
          <w:p w:rsidR="00936850" w:rsidRPr="00936850" w:rsidRDefault="00936850" w:rsidP="00936850">
            <w:pPr>
              <w:jc w:val="center"/>
              <w:rPr>
                <w:color w:val="000000" w:themeColor="text1"/>
                <w:sz w:val="20"/>
                <w:szCs w:val="20"/>
              </w:rPr>
            </w:pPr>
            <w:r>
              <w:rPr>
                <w:rFonts w:hint="eastAsia"/>
                <w:color w:val="000000" w:themeColor="text1"/>
                <w:sz w:val="20"/>
                <w:szCs w:val="20"/>
              </w:rPr>
              <w:t>82.44</w:t>
            </w:r>
          </w:p>
        </w:tc>
        <w:tc>
          <w:tcPr>
            <w:tcW w:w="1984" w:type="dxa"/>
          </w:tcPr>
          <w:p w:rsidR="00936850" w:rsidRPr="00936850" w:rsidRDefault="00936850" w:rsidP="00936850">
            <w:pPr>
              <w:jc w:val="center"/>
              <w:rPr>
                <w:color w:val="000000" w:themeColor="text1"/>
                <w:sz w:val="20"/>
                <w:szCs w:val="20"/>
              </w:rPr>
            </w:pPr>
            <w:r>
              <w:rPr>
                <w:rFonts w:hint="eastAsia"/>
                <w:color w:val="000000" w:themeColor="text1"/>
                <w:sz w:val="20"/>
                <w:szCs w:val="20"/>
              </w:rPr>
              <w:t>0.40%</w:t>
            </w:r>
          </w:p>
        </w:tc>
        <w:tc>
          <w:tcPr>
            <w:tcW w:w="1279" w:type="dxa"/>
          </w:tcPr>
          <w:p w:rsidR="00936850" w:rsidRPr="00936850" w:rsidRDefault="00936850" w:rsidP="00936850">
            <w:pPr>
              <w:jc w:val="center"/>
              <w:rPr>
                <w:color w:val="000000" w:themeColor="text1"/>
                <w:sz w:val="20"/>
                <w:szCs w:val="20"/>
              </w:rPr>
            </w:pPr>
          </w:p>
        </w:tc>
      </w:tr>
      <w:tr w:rsidR="00936850" w:rsidTr="00936850">
        <w:trPr>
          <w:trHeight w:val="297"/>
        </w:trPr>
        <w:tc>
          <w:tcPr>
            <w:tcW w:w="2020" w:type="dxa"/>
            <w:vMerge/>
          </w:tcPr>
          <w:p w:rsidR="00936850" w:rsidRDefault="00936850" w:rsidP="00936850">
            <w:pPr>
              <w:rPr>
                <w:rFonts w:ascii="仿宋_GB2312" w:eastAsia="仿宋_GB2312" w:hAnsi="ˎ̥" w:cs="Tahoma" w:hint="eastAsia"/>
                <w:color w:val="000000" w:themeColor="text1"/>
                <w:kern w:val="0"/>
                <w:sz w:val="30"/>
                <w:szCs w:val="30"/>
              </w:rPr>
            </w:pPr>
          </w:p>
        </w:tc>
        <w:tc>
          <w:tcPr>
            <w:tcW w:w="1842" w:type="dxa"/>
          </w:tcPr>
          <w:p w:rsidR="00936850" w:rsidRPr="00936850" w:rsidRDefault="00936850" w:rsidP="00936850">
            <w:pPr>
              <w:jc w:val="center"/>
              <w:rPr>
                <w:color w:val="000000" w:themeColor="text1"/>
                <w:sz w:val="20"/>
                <w:szCs w:val="20"/>
              </w:rPr>
            </w:pPr>
            <w:r>
              <w:rPr>
                <w:rFonts w:hint="eastAsia"/>
                <w:color w:val="000000" w:themeColor="text1"/>
                <w:sz w:val="20"/>
                <w:szCs w:val="20"/>
              </w:rPr>
              <w:t>同业存放款项</w:t>
            </w:r>
          </w:p>
        </w:tc>
        <w:tc>
          <w:tcPr>
            <w:tcW w:w="1560" w:type="dxa"/>
          </w:tcPr>
          <w:p w:rsidR="00936850" w:rsidRPr="00936850" w:rsidRDefault="00936850" w:rsidP="00936850">
            <w:pPr>
              <w:jc w:val="center"/>
              <w:rPr>
                <w:color w:val="000000" w:themeColor="text1"/>
                <w:sz w:val="20"/>
                <w:szCs w:val="20"/>
              </w:rPr>
            </w:pPr>
            <w:r>
              <w:rPr>
                <w:rFonts w:hint="eastAsia"/>
                <w:color w:val="000000" w:themeColor="text1"/>
                <w:sz w:val="20"/>
                <w:szCs w:val="20"/>
              </w:rPr>
              <w:t>7500.00</w:t>
            </w:r>
          </w:p>
        </w:tc>
        <w:tc>
          <w:tcPr>
            <w:tcW w:w="1984" w:type="dxa"/>
          </w:tcPr>
          <w:p w:rsidR="00936850" w:rsidRPr="00936850" w:rsidRDefault="00936850" w:rsidP="00936850">
            <w:pPr>
              <w:jc w:val="center"/>
              <w:rPr>
                <w:color w:val="000000" w:themeColor="text1"/>
                <w:sz w:val="20"/>
                <w:szCs w:val="20"/>
              </w:rPr>
            </w:pPr>
            <w:r>
              <w:rPr>
                <w:rFonts w:hint="eastAsia"/>
                <w:color w:val="000000" w:themeColor="text1"/>
                <w:sz w:val="20"/>
                <w:szCs w:val="20"/>
              </w:rPr>
              <w:t>36.50%</w:t>
            </w:r>
          </w:p>
        </w:tc>
        <w:tc>
          <w:tcPr>
            <w:tcW w:w="1279" w:type="dxa"/>
          </w:tcPr>
          <w:p w:rsidR="00936850" w:rsidRPr="00936850" w:rsidRDefault="00936850" w:rsidP="00936850">
            <w:pPr>
              <w:jc w:val="center"/>
              <w:rPr>
                <w:color w:val="000000" w:themeColor="text1"/>
                <w:sz w:val="20"/>
                <w:szCs w:val="20"/>
              </w:rPr>
            </w:pPr>
          </w:p>
        </w:tc>
      </w:tr>
      <w:tr w:rsidR="00236737" w:rsidTr="00936850">
        <w:trPr>
          <w:trHeight w:val="255"/>
        </w:trPr>
        <w:tc>
          <w:tcPr>
            <w:tcW w:w="2020" w:type="dxa"/>
          </w:tcPr>
          <w:p w:rsidR="00236737" w:rsidRPr="00936850" w:rsidRDefault="00936850" w:rsidP="00936850">
            <w:pPr>
              <w:ind w:firstLineChars="350" w:firstLine="700"/>
              <w:rPr>
                <w:color w:val="000000" w:themeColor="text1"/>
                <w:sz w:val="20"/>
                <w:szCs w:val="20"/>
              </w:rPr>
            </w:pPr>
            <w:r w:rsidRPr="00936850">
              <w:rPr>
                <w:rFonts w:hint="eastAsia"/>
                <w:color w:val="000000" w:themeColor="text1"/>
                <w:sz w:val="20"/>
                <w:szCs w:val="20"/>
              </w:rPr>
              <w:t>合计</w:t>
            </w:r>
          </w:p>
        </w:tc>
        <w:tc>
          <w:tcPr>
            <w:tcW w:w="1842" w:type="dxa"/>
          </w:tcPr>
          <w:p w:rsidR="00236737" w:rsidRPr="00936850" w:rsidRDefault="00236737" w:rsidP="00936850">
            <w:pPr>
              <w:jc w:val="center"/>
              <w:rPr>
                <w:color w:val="000000" w:themeColor="text1"/>
                <w:sz w:val="20"/>
                <w:szCs w:val="20"/>
              </w:rPr>
            </w:pPr>
          </w:p>
        </w:tc>
        <w:tc>
          <w:tcPr>
            <w:tcW w:w="1560" w:type="dxa"/>
          </w:tcPr>
          <w:p w:rsidR="00236737" w:rsidRPr="00936850" w:rsidRDefault="00936850" w:rsidP="00936850">
            <w:pPr>
              <w:jc w:val="center"/>
              <w:rPr>
                <w:color w:val="000000" w:themeColor="text1"/>
                <w:sz w:val="20"/>
                <w:szCs w:val="20"/>
              </w:rPr>
            </w:pPr>
            <w:r>
              <w:rPr>
                <w:rFonts w:hint="eastAsia"/>
                <w:color w:val="000000" w:themeColor="text1"/>
                <w:sz w:val="20"/>
                <w:szCs w:val="20"/>
              </w:rPr>
              <w:t>7582.44</w:t>
            </w:r>
          </w:p>
        </w:tc>
        <w:tc>
          <w:tcPr>
            <w:tcW w:w="1984" w:type="dxa"/>
          </w:tcPr>
          <w:p w:rsidR="00236737" w:rsidRPr="00936850" w:rsidRDefault="00936850" w:rsidP="00936850">
            <w:pPr>
              <w:jc w:val="center"/>
              <w:rPr>
                <w:color w:val="000000" w:themeColor="text1"/>
                <w:sz w:val="20"/>
                <w:szCs w:val="20"/>
              </w:rPr>
            </w:pPr>
            <w:r>
              <w:rPr>
                <w:rFonts w:hint="eastAsia"/>
                <w:color w:val="000000" w:themeColor="text1"/>
                <w:sz w:val="20"/>
                <w:szCs w:val="20"/>
              </w:rPr>
              <w:t>36.90%</w:t>
            </w:r>
          </w:p>
        </w:tc>
        <w:tc>
          <w:tcPr>
            <w:tcW w:w="1279" w:type="dxa"/>
          </w:tcPr>
          <w:p w:rsidR="00236737" w:rsidRPr="00936850" w:rsidRDefault="00236737" w:rsidP="00936850">
            <w:pPr>
              <w:jc w:val="center"/>
              <w:rPr>
                <w:color w:val="000000" w:themeColor="text1"/>
                <w:sz w:val="20"/>
                <w:szCs w:val="20"/>
              </w:rPr>
            </w:pPr>
          </w:p>
        </w:tc>
      </w:tr>
    </w:tbl>
    <w:p w:rsidR="003B6511" w:rsidRDefault="003B6511" w:rsidP="00607601">
      <w:pPr>
        <w:spacing w:line="560" w:lineRule="exact"/>
        <w:ind w:firstLineChars="200" w:firstLine="420"/>
        <w:rPr>
          <w:rFonts w:ascii="仿宋_GB2312" w:eastAsia="仿宋_GB2312" w:hAnsi="ˎ̥" w:cs="Tahoma" w:hint="eastAsia"/>
          <w:color w:val="000000" w:themeColor="text1"/>
          <w:kern w:val="0"/>
          <w:szCs w:val="21"/>
        </w:rPr>
      </w:pPr>
      <w:r w:rsidRPr="00B528D0">
        <w:rPr>
          <w:rFonts w:ascii="仿宋_GB2312" w:eastAsia="仿宋_GB2312" w:hAnsi="ˎ̥" w:cs="Tahoma" w:hint="eastAsia"/>
          <w:color w:val="000000" w:themeColor="text1"/>
          <w:kern w:val="0"/>
          <w:szCs w:val="21"/>
        </w:rPr>
        <w:t>注：资本净额包括核心一级资本、二级资本、其他一级资本扣减资本扣除项目。</w:t>
      </w:r>
    </w:p>
    <w:p w:rsidR="004E3B38" w:rsidRPr="00607601" w:rsidRDefault="004E3B38" w:rsidP="00607601">
      <w:pPr>
        <w:spacing w:line="560" w:lineRule="exact"/>
        <w:ind w:firstLineChars="200" w:firstLine="420"/>
        <w:rPr>
          <w:rFonts w:ascii="仿宋_GB2312" w:eastAsia="仿宋_GB2312" w:hAnsi="ˎ̥" w:cs="Tahoma" w:hint="eastAsia"/>
          <w:color w:val="000000" w:themeColor="text1"/>
          <w:kern w:val="0"/>
          <w:szCs w:val="21"/>
        </w:rPr>
      </w:pPr>
    </w:p>
    <w:p w:rsidR="000B01ED" w:rsidRPr="00170C89" w:rsidRDefault="000B01ED" w:rsidP="00170C89">
      <w:pPr>
        <w:jc w:val="center"/>
        <w:rPr>
          <w:rFonts w:ascii="黑体" w:eastAsia="黑体" w:hAnsi="ˎ̥" w:cs="Tahoma" w:hint="eastAsia"/>
          <w:kern w:val="0"/>
          <w:sz w:val="32"/>
          <w:szCs w:val="32"/>
        </w:rPr>
      </w:pPr>
      <w:r w:rsidRPr="00170C89">
        <w:rPr>
          <w:rFonts w:ascii="黑体" w:eastAsia="黑体" w:hAnsi="ˎ̥" w:cs="Tahoma" w:hint="eastAsia"/>
          <w:kern w:val="0"/>
          <w:sz w:val="32"/>
          <w:szCs w:val="32"/>
        </w:rPr>
        <w:t>第四章　风险管理</w:t>
      </w:r>
    </w:p>
    <w:p w:rsidR="000B01ED" w:rsidRPr="00170C89" w:rsidRDefault="000B01ED" w:rsidP="00170C89">
      <w:pPr>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t>一、信用风险</w:t>
      </w:r>
    </w:p>
    <w:p w:rsidR="000B01ED" w:rsidRPr="00170C89" w:rsidRDefault="000B01ED" w:rsidP="00170C89">
      <w:pPr>
        <w:spacing w:line="560" w:lineRule="exact"/>
        <w:ind w:firstLineChars="200" w:firstLine="640"/>
        <w:rPr>
          <w:rFonts w:ascii="仿宋_GB2312" w:eastAsia="仿宋_GB2312"/>
          <w:sz w:val="32"/>
          <w:szCs w:val="32"/>
        </w:rPr>
      </w:pPr>
      <w:r w:rsidRPr="00170C89">
        <w:rPr>
          <w:rFonts w:ascii="仿宋_GB2312" w:eastAsia="仿宋_GB2312" w:hAnsi="ˎ̥" w:cs="Tahoma" w:hint="eastAsia"/>
          <w:kern w:val="0"/>
          <w:sz w:val="32"/>
          <w:szCs w:val="32"/>
        </w:rPr>
        <w:lastRenderedPageBreak/>
        <w:t>报告期内，本行不断强化信用风险管控：</w:t>
      </w:r>
      <w:r w:rsidRPr="00170C89">
        <w:rPr>
          <w:rFonts w:ascii="仿宋_GB2312" w:eastAsia="仿宋_GB2312" w:hAnsi="ˎ̥" w:cs="Tahoma" w:hint="eastAsia"/>
          <w:b/>
          <w:kern w:val="0"/>
          <w:sz w:val="32"/>
          <w:szCs w:val="32"/>
        </w:rPr>
        <w:t>一是</w:t>
      </w:r>
      <w:r w:rsidRPr="00170C89">
        <w:rPr>
          <w:rFonts w:ascii="仿宋_GB2312" w:eastAsia="仿宋_GB2312" w:hAnsi="华文仿宋" w:hint="eastAsia"/>
          <w:color w:val="000000"/>
          <w:sz w:val="32"/>
          <w:szCs w:val="32"/>
        </w:rPr>
        <w:t>进一步规范信贷业务操作流程，加强内部控制，提高信贷管理精细化水平，同时注重对客户经理信贷业务操作及信用风险防范能力的培训提升；</w:t>
      </w:r>
      <w:r w:rsidRPr="00170C89">
        <w:rPr>
          <w:rFonts w:ascii="仿宋_GB2312" w:eastAsia="仿宋_GB2312" w:hAnsi="华文仿宋" w:hint="eastAsia"/>
          <w:b/>
          <w:color w:val="000000"/>
          <w:sz w:val="32"/>
          <w:szCs w:val="32"/>
        </w:rPr>
        <w:t>二是</w:t>
      </w:r>
      <w:r w:rsidRPr="00170C89">
        <w:rPr>
          <w:rFonts w:ascii="仿宋_GB2312" w:eastAsia="仿宋_GB2312" w:hAnsi="华文仿宋" w:hint="eastAsia"/>
          <w:color w:val="000000"/>
          <w:sz w:val="32"/>
          <w:szCs w:val="32"/>
        </w:rPr>
        <w:t>坚持“支农支小”、“小额流动分散”原则，严把授信准入关，对不符合本行授信准入条件的客户采取逐步压缩或退出手段，优化调整信贷结构；</w:t>
      </w:r>
      <w:r w:rsidRPr="00170C89">
        <w:rPr>
          <w:rFonts w:ascii="仿宋_GB2312" w:eastAsia="仿宋_GB2312" w:hAnsi="华文仿宋" w:hint="eastAsia"/>
          <w:b/>
          <w:color w:val="000000"/>
          <w:sz w:val="32"/>
          <w:szCs w:val="32"/>
        </w:rPr>
        <w:t>三是</w:t>
      </w:r>
      <w:r w:rsidRPr="00170C89">
        <w:rPr>
          <w:rFonts w:ascii="仿宋_GB2312" w:eastAsia="仿宋_GB2312" w:hAnsi="华文仿宋" w:hint="eastAsia"/>
          <w:color w:val="000000"/>
          <w:sz w:val="32"/>
          <w:szCs w:val="32"/>
        </w:rPr>
        <w:t>严格落实贷款“三查”制度，从贷前、贷中、贷后全面加强风险管控；</w:t>
      </w:r>
      <w:r w:rsidRPr="00170C89">
        <w:rPr>
          <w:rFonts w:ascii="仿宋_GB2312" w:eastAsia="仿宋_GB2312" w:hAnsi="华文仿宋" w:hint="eastAsia"/>
          <w:b/>
          <w:color w:val="000000"/>
          <w:sz w:val="32"/>
          <w:szCs w:val="32"/>
        </w:rPr>
        <w:t>四是</w:t>
      </w:r>
      <w:r w:rsidRPr="00170C89">
        <w:rPr>
          <w:rFonts w:ascii="仿宋_GB2312" w:eastAsia="仿宋_GB2312" w:hAnsi="华文仿宋" w:hint="eastAsia"/>
          <w:color w:val="000000"/>
          <w:sz w:val="32"/>
          <w:szCs w:val="32"/>
        </w:rPr>
        <w:t>对全行进行了信贷业务检查，并逐步形成常态化的检查机制，通过检查及时发现问题并整改；</w:t>
      </w:r>
      <w:r w:rsidRPr="00170C89">
        <w:rPr>
          <w:rFonts w:ascii="仿宋_GB2312" w:eastAsia="仿宋_GB2312" w:hAnsi="华文仿宋" w:hint="eastAsia"/>
          <w:b/>
          <w:color w:val="000000"/>
          <w:sz w:val="32"/>
          <w:szCs w:val="32"/>
        </w:rPr>
        <w:t>五是</w:t>
      </w:r>
      <w:r w:rsidRPr="00170C89">
        <w:rPr>
          <w:rFonts w:ascii="仿宋_GB2312" w:eastAsia="仿宋_GB2312" w:hint="eastAsia"/>
          <w:sz w:val="32"/>
          <w:szCs w:val="32"/>
        </w:rPr>
        <w:t>加大对不良贷款的清收力度，将不良贷款集中在总行风险管理部，统一诉讼及处置，加快诉讼清收。</w:t>
      </w:r>
    </w:p>
    <w:p w:rsidR="000B01ED" w:rsidRPr="00170C89" w:rsidRDefault="000B01ED" w:rsidP="00170C89">
      <w:pPr>
        <w:spacing w:line="560" w:lineRule="exact"/>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t>二、市场风险</w:t>
      </w:r>
    </w:p>
    <w:p w:rsidR="000B01ED" w:rsidRPr="00170C89" w:rsidRDefault="000B01ED" w:rsidP="00170C89">
      <w:pPr>
        <w:spacing w:line="560" w:lineRule="exact"/>
        <w:ind w:firstLineChars="200" w:firstLine="640"/>
        <w:rPr>
          <w:rFonts w:ascii="仿宋_GB2312" w:eastAsia="仿宋_GB2312" w:hAnsi="ˎ̥" w:cs="Tahoma" w:hint="eastAsia"/>
          <w:kern w:val="0"/>
          <w:sz w:val="32"/>
          <w:szCs w:val="32"/>
        </w:rPr>
      </w:pPr>
      <w:r w:rsidRPr="00170C89">
        <w:rPr>
          <w:rFonts w:ascii="仿宋_GB2312" w:eastAsia="仿宋_GB2312" w:hAnsi="ˎ̥" w:cs="Tahoma" w:hint="eastAsia"/>
          <w:kern w:val="0"/>
          <w:sz w:val="32"/>
          <w:szCs w:val="32"/>
        </w:rPr>
        <w:t>报告期内，为防范本行市场风险，主要来自于利率风险的影响：</w:t>
      </w:r>
      <w:r w:rsidRPr="00170C89">
        <w:rPr>
          <w:rFonts w:ascii="仿宋_GB2312" w:eastAsia="仿宋_GB2312" w:hAnsi="ˎ̥" w:cs="Tahoma" w:hint="eastAsia"/>
          <w:b/>
          <w:kern w:val="0"/>
          <w:sz w:val="32"/>
          <w:szCs w:val="32"/>
        </w:rPr>
        <w:t>一是</w:t>
      </w:r>
      <w:r w:rsidRPr="00170C89">
        <w:rPr>
          <w:rFonts w:ascii="仿宋_GB2312" w:eastAsia="仿宋_GB2312" w:hAnsi="ˎ̥" w:cs="Tahoma" w:hint="eastAsia"/>
          <w:kern w:val="0"/>
          <w:sz w:val="32"/>
          <w:szCs w:val="32"/>
        </w:rPr>
        <w:t>建立完善垂直独立、相互配合的市场风险管理的组织框架；</w:t>
      </w:r>
      <w:r w:rsidRPr="00170C89">
        <w:rPr>
          <w:rFonts w:ascii="仿宋_GB2312" w:eastAsia="仿宋_GB2312" w:hAnsi="ˎ̥" w:cs="Tahoma" w:hint="eastAsia"/>
          <w:b/>
          <w:kern w:val="0"/>
          <w:sz w:val="32"/>
          <w:szCs w:val="32"/>
        </w:rPr>
        <w:t>二是</w:t>
      </w:r>
      <w:r w:rsidRPr="00170C89">
        <w:rPr>
          <w:rFonts w:ascii="仿宋_GB2312" w:eastAsia="仿宋_GB2312" w:hAnsi="ˎ̥" w:cs="Tahoma" w:hint="eastAsia"/>
          <w:kern w:val="0"/>
          <w:sz w:val="32"/>
          <w:szCs w:val="32"/>
        </w:rPr>
        <w:t>修订利率定价管理机制，开展利率风险对收益影响的分析测算；</w:t>
      </w:r>
      <w:r w:rsidRPr="00170C89">
        <w:rPr>
          <w:rFonts w:ascii="仿宋_GB2312" w:eastAsia="仿宋_GB2312" w:hAnsi="ˎ̥" w:cs="Tahoma" w:hint="eastAsia"/>
          <w:b/>
          <w:kern w:val="0"/>
          <w:sz w:val="32"/>
          <w:szCs w:val="32"/>
        </w:rPr>
        <w:t>三是</w:t>
      </w:r>
      <w:r w:rsidRPr="00170C89">
        <w:rPr>
          <w:rFonts w:ascii="仿宋_GB2312" w:eastAsia="仿宋_GB2312" w:hAnsi="ˎ̥" w:cs="Tahoma" w:hint="eastAsia"/>
          <w:kern w:val="0"/>
          <w:sz w:val="32"/>
          <w:szCs w:val="32"/>
        </w:rPr>
        <w:t>积极适应利率市场化趋势，结合本行实际，进一步优化本行存、贷利率结构。</w:t>
      </w:r>
    </w:p>
    <w:p w:rsidR="000B01ED" w:rsidRPr="00170C89" w:rsidRDefault="000B01ED" w:rsidP="00170C89">
      <w:pPr>
        <w:spacing w:line="560" w:lineRule="exact"/>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t>三、流动性风险</w:t>
      </w:r>
    </w:p>
    <w:p w:rsidR="000B01ED" w:rsidRPr="00170C89" w:rsidRDefault="000B01ED" w:rsidP="00170C89">
      <w:pPr>
        <w:spacing w:line="560" w:lineRule="exact"/>
        <w:ind w:firstLineChars="200" w:firstLine="640"/>
        <w:rPr>
          <w:rFonts w:ascii="仿宋_GB2312" w:eastAsia="仿宋_GB2312" w:hAnsi="仿宋_GB2312"/>
          <w:sz w:val="32"/>
          <w:szCs w:val="32"/>
        </w:rPr>
      </w:pPr>
      <w:r w:rsidRPr="00170C89">
        <w:rPr>
          <w:rFonts w:ascii="仿宋_GB2312" w:eastAsia="仿宋_GB2312" w:hAnsi="ˎ̥" w:cs="Tahoma" w:hint="eastAsia"/>
          <w:kern w:val="0"/>
          <w:sz w:val="32"/>
          <w:szCs w:val="32"/>
        </w:rPr>
        <w:t>报告期内，本行为控制流动性风险，在资产负债结构、流动性监测等方面，增强了管理力度：</w:t>
      </w:r>
      <w:r w:rsidRPr="00170C89">
        <w:rPr>
          <w:rFonts w:ascii="仿宋_GB2312" w:eastAsia="仿宋_GB2312" w:hAnsi="仿宋_GB2312" w:hint="eastAsia"/>
          <w:b/>
          <w:bCs/>
          <w:sz w:val="32"/>
          <w:szCs w:val="32"/>
        </w:rPr>
        <w:t>一是</w:t>
      </w:r>
      <w:r w:rsidRPr="00170C89">
        <w:rPr>
          <w:rFonts w:ascii="仿宋_GB2312" w:eastAsia="仿宋_GB2312" w:hAnsi="仿宋_GB2312" w:hint="eastAsia"/>
          <w:sz w:val="32"/>
          <w:szCs w:val="32"/>
        </w:rPr>
        <w:t>深入普惠金融，</w:t>
      </w:r>
      <w:r w:rsidRPr="00170C89">
        <w:rPr>
          <w:rFonts w:ascii="仿宋_GB2312" w:eastAsia="仿宋_GB2312" w:hAnsi="ˎ̥" w:hint="eastAsia"/>
          <w:sz w:val="32"/>
          <w:szCs w:val="32"/>
        </w:rPr>
        <w:t>通过建立试点村、试点组，走村入户，</w:t>
      </w:r>
      <w:r w:rsidRPr="00170C89">
        <w:rPr>
          <w:rFonts w:ascii="仿宋_GB2312" w:eastAsia="仿宋_GB2312" w:hAnsi="宋体" w:hint="eastAsia"/>
          <w:sz w:val="32"/>
          <w:szCs w:val="32"/>
        </w:rPr>
        <w:t>大力拓展基础客户群，从而促进存款稳步上升，不断提</w:t>
      </w:r>
      <w:r w:rsidRPr="00170C89">
        <w:rPr>
          <w:rFonts w:ascii="仿宋_GB2312" w:eastAsia="仿宋_GB2312" w:hint="eastAsia"/>
          <w:color w:val="000000"/>
          <w:sz w:val="32"/>
          <w:szCs w:val="32"/>
        </w:rPr>
        <w:t>高资金来源的稳定性；</w:t>
      </w:r>
      <w:r w:rsidRPr="00170C89">
        <w:rPr>
          <w:rFonts w:ascii="仿宋_GB2312" w:eastAsia="仿宋_GB2312" w:hAnsi="仿宋_GB2312" w:hint="eastAsia"/>
          <w:b/>
          <w:sz w:val="32"/>
          <w:szCs w:val="32"/>
        </w:rPr>
        <w:t>二是</w:t>
      </w:r>
      <w:r w:rsidRPr="00170C89">
        <w:rPr>
          <w:rFonts w:ascii="仿宋_GB2312" w:eastAsia="仿宋_GB2312" w:hAnsi="仿宋_GB2312" w:hint="eastAsia"/>
          <w:sz w:val="32"/>
          <w:szCs w:val="32"/>
        </w:rPr>
        <w:t>合理安排信贷投放节奏，有针对性的安排贷款不同到期时间，使贷款每月均有适</w:t>
      </w:r>
      <w:r w:rsidRPr="00170C89">
        <w:rPr>
          <w:rFonts w:ascii="仿宋_GB2312" w:eastAsia="仿宋_GB2312" w:hAnsi="仿宋_GB2312" w:hint="eastAsia"/>
          <w:sz w:val="32"/>
          <w:szCs w:val="32"/>
        </w:rPr>
        <w:lastRenderedPageBreak/>
        <w:t>当金额到期，提高流动性资产占比；</w:t>
      </w:r>
      <w:r w:rsidRPr="00170C89">
        <w:rPr>
          <w:rFonts w:ascii="仿宋_GB2312" w:eastAsia="仿宋_GB2312" w:hAnsi="仿宋_GB2312" w:hint="eastAsia"/>
          <w:b/>
          <w:bCs/>
          <w:sz w:val="32"/>
          <w:szCs w:val="32"/>
        </w:rPr>
        <w:t>三是</w:t>
      </w:r>
      <w:r w:rsidRPr="00170C89">
        <w:rPr>
          <w:rFonts w:ascii="仿宋_GB2312" w:eastAsia="仿宋_GB2312" w:hAnsi="仿宋_GB2312" w:hint="eastAsia"/>
          <w:sz w:val="32"/>
          <w:szCs w:val="32"/>
        </w:rPr>
        <w:t>建立流动性风险预警机制，制定流动性风险应急预案，结合本行实际做好流动性风险应急演练，并对模拟演练情况进行评估，及时发现问题，防范流动性风险；</w:t>
      </w:r>
      <w:r w:rsidRPr="00170C89">
        <w:rPr>
          <w:rFonts w:ascii="仿宋_GB2312" w:eastAsia="仿宋_GB2312" w:hAnsi="仿宋_GB2312" w:hint="eastAsia"/>
          <w:b/>
          <w:bCs/>
          <w:sz w:val="32"/>
          <w:szCs w:val="32"/>
        </w:rPr>
        <w:t>四是</w:t>
      </w:r>
      <w:r w:rsidRPr="00170C89">
        <w:rPr>
          <w:rFonts w:ascii="仿宋_GB2312" w:eastAsia="仿宋_GB2312" w:hAnsi="仿宋_GB2312" w:hint="eastAsia"/>
          <w:sz w:val="32"/>
          <w:szCs w:val="32"/>
        </w:rPr>
        <w:t>对流动性风险实行动态监测和前瞻性监测，深化“四个一”监测机制，配备专人对日常资金头寸进行每日监测、分析，提升压力测试和应急演练的实际效果。</w:t>
      </w:r>
    </w:p>
    <w:p w:rsidR="000B01ED" w:rsidRPr="00170C89" w:rsidRDefault="000B01ED" w:rsidP="00170C89">
      <w:pPr>
        <w:spacing w:line="560" w:lineRule="exact"/>
        <w:ind w:firstLineChars="200" w:firstLine="640"/>
        <w:rPr>
          <w:rFonts w:ascii="黑体" w:eastAsia="黑体" w:hAnsi="ˎ̥" w:cs="Tahoma" w:hint="eastAsia"/>
          <w:kern w:val="0"/>
          <w:sz w:val="32"/>
          <w:szCs w:val="32"/>
        </w:rPr>
      </w:pPr>
      <w:r w:rsidRPr="00170C89">
        <w:rPr>
          <w:rFonts w:ascii="黑体" w:eastAsia="黑体" w:hAnsi="ˎ̥" w:cs="Tahoma" w:hint="eastAsia"/>
          <w:kern w:val="0"/>
          <w:sz w:val="32"/>
          <w:szCs w:val="32"/>
        </w:rPr>
        <w:t>四、操作风险</w:t>
      </w:r>
    </w:p>
    <w:p w:rsidR="004E3B38" w:rsidRPr="00170C89" w:rsidRDefault="000B01ED" w:rsidP="00170C89">
      <w:pPr>
        <w:spacing w:line="560" w:lineRule="exact"/>
        <w:ind w:firstLineChars="200" w:firstLine="640"/>
        <w:rPr>
          <w:rFonts w:ascii="仿宋_GB2312" w:eastAsia="仿宋_GB2312" w:hAnsi="ˎ̥" w:cs="Tahoma" w:hint="eastAsia"/>
          <w:color w:val="0070C0"/>
          <w:kern w:val="0"/>
          <w:sz w:val="32"/>
          <w:szCs w:val="32"/>
        </w:rPr>
      </w:pPr>
      <w:r w:rsidRPr="00170C89">
        <w:rPr>
          <w:rFonts w:ascii="仿宋_GB2312" w:eastAsia="仿宋_GB2312" w:hAnsi="ˎ̥" w:cs="Tahoma" w:hint="eastAsia"/>
          <w:kern w:val="0"/>
          <w:sz w:val="32"/>
          <w:szCs w:val="32"/>
        </w:rPr>
        <w:t>报告期内，本行进一步从内控机制、操作流程、审计监督和纠正等方面强化对操作风险的管理：</w:t>
      </w:r>
      <w:r w:rsidRPr="00170C89">
        <w:rPr>
          <w:rFonts w:ascii="仿宋_GB2312" w:eastAsia="仿宋_GB2312" w:hAnsi="ˎ̥" w:cs="Tahoma" w:hint="eastAsia"/>
          <w:b/>
          <w:kern w:val="0"/>
          <w:sz w:val="32"/>
          <w:szCs w:val="32"/>
        </w:rPr>
        <w:t>一是</w:t>
      </w:r>
      <w:r w:rsidRPr="00170C89">
        <w:rPr>
          <w:rFonts w:ascii="仿宋_GB2312" w:eastAsia="仿宋_GB2312" w:hAnsi="ˎ̥" w:cs="Tahoma" w:hint="eastAsia"/>
          <w:kern w:val="0"/>
          <w:sz w:val="32"/>
          <w:szCs w:val="32"/>
        </w:rPr>
        <w:t>加强内控制度建设，完善业务操作流程；</w:t>
      </w:r>
      <w:r w:rsidRPr="00170C89">
        <w:rPr>
          <w:rFonts w:ascii="仿宋_GB2312" w:eastAsia="仿宋_GB2312" w:hAnsi="ˎ̥" w:cs="Tahoma" w:hint="eastAsia"/>
          <w:b/>
          <w:kern w:val="0"/>
          <w:sz w:val="32"/>
          <w:szCs w:val="32"/>
        </w:rPr>
        <w:t>二是</w:t>
      </w:r>
      <w:r w:rsidRPr="00170C89">
        <w:rPr>
          <w:rFonts w:ascii="仿宋_GB2312" w:eastAsia="仿宋_GB2312" w:hAnsi="ˎ̥" w:cs="Tahoma" w:hint="eastAsia"/>
          <w:kern w:val="0"/>
          <w:sz w:val="32"/>
          <w:szCs w:val="32"/>
        </w:rPr>
        <w:t>推行合</w:t>
      </w:r>
      <w:proofErr w:type="gramStart"/>
      <w:r w:rsidRPr="00170C89">
        <w:rPr>
          <w:rFonts w:ascii="仿宋_GB2312" w:eastAsia="仿宋_GB2312" w:hAnsi="ˎ̥" w:cs="Tahoma" w:hint="eastAsia"/>
          <w:kern w:val="0"/>
          <w:sz w:val="32"/>
          <w:szCs w:val="32"/>
        </w:rPr>
        <w:t>规</w:t>
      </w:r>
      <w:proofErr w:type="gramEnd"/>
      <w:r w:rsidRPr="00170C89">
        <w:rPr>
          <w:rFonts w:ascii="仿宋_GB2312" w:eastAsia="仿宋_GB2312" w:hAnsi="ˎ̥" w:cs="Tahoma" w:hint="eastAsia"/>
          <w:kern w:val="0"/>
          <w:sz w:val="32"/>
          <w:szCs w:val="32"/>
        </w:rPr>
        <w:t>文化，强化员工合</w:t>
      </w:r>
      <w:proofErr w:type="gramStart"/>
      <w:r w:rsidRPr="00170C89">
        <w:rPr>
          <w:rFonts w:ascii="仿宋_GB2312" w:eastAsia="仿宋_GB2312" w:hAnsi="ˎ̥" w:cs="Tahoma" w:hint="eastAsia"/>
          <w:kern w:val="0"/>
          <w:sz w:val="32"/>
          <w:szCs w:val="32"/>
        </w:rPr>
        <w:t>规</w:t>
      </w:r>
      <w:proofErr w:type="gramEnd"/>
      <w:r w:rsidRPr="00170C89">
        <w:rPr>
          <w:rFonts w:ascii="仿宋_GB2312" w:eastAsia="仿宋_GB2312" w:hAnsi="ˎ̥" w:cs="Tahoma" w:hint="eastAsia"/>
          <w:kern w:val="0"/>
          <w:sz w:val="32"/>
          <w:szCs w:val="32"/>
        </w:rPr>
        <w:t>教育及业务知识培训；</w:t>
      </w:r>
      <w:r w:rsidRPr="00170C89">
        <w:rPr>
          <w:rFonts w:ascii="仿宋_GB2312" w:eastAsia="仿宋_GB2312" w:hAnsi="ˎ̥" w:cs="Tahoma" w:hint="eastAsia"/>
          <w:b/>
          <w:kern w:val="0"/>
          <w:sz w:val="32"/>
          <w:szCs w:val="32"/>
        </w:rPr>
        <w:t>三是</w:t>
      </w:r>
      <w:r w:rsidRPr="00170C89">
        <w:rPr>
          <w:rFonts w:ascii="仿宋_GB2312" w:eastAsia="仿宋_GB2312" w:hAnsi="ˎ̥" w:cs="Tahoma" w:hint="eastAsia"/>
          <w:kern w:val="0"/>
          <w:sz w:val="32"/>
          <w:szCs w:val="32"/>
        </w:rPr>
        <w:t>深入开展员工行为大排查活动，查找发现问题，提高员工合</w:t>
      </w:r>
      <w:proofErr w:type="gramStart"/>
      <w:r w:rsidRPr="00170C89">
        <w:rPr>
          <w:rFonts w:ascii="仿宋_GB2312" w:eastAsia="仿宋_GB2312" w:hAnsi="ˎ̥" w:cs="Tahoma" w:hint="eastAsia"/>
          <w:kern w:val="0"/>
          <w:sz w:val="32"/>
          <w:szCs w:val="32"/>
        </w:rPr>
        <w:t>规</w:t>
      </w:r>
      <w:proofErr w:type="gramEnd"/>
      <w:r w:rsidRPr="00170C89">
        <w:rPr>
          <w:rFonts w:ascii="仿宋_GB2312" w:eastAsia="仿宋_GB2312" w:hAnsi="ˎ̥" w:cs="Tahoma" w:hint="eastAsia"/>
          <w:kern w:val="0"/>
          <w:sz w:val="32"/>
          <w:szCs w:val="32"/>
        </w:rPr>
        <w:t>意识、案件防范意识；</w:t>
      </w:r>
      <w:r w:rsidRPr="00CB418E">
        <w:rPr>
          <w:rFonts w:ascii="仿宋_GB2312" w:eastAsia="仿宋_GB2312" w:hAnsi="ˎ̥" w:cs="Tahoma" w:hint="eastAsia"/>
          <w:b/>
          <w:kern w:val="0"/>
          <w:sz w:val="32"/>
          <w:szCs w:val="32"/>
        </w:rPr>
        <w:t>四是</w:t>
      </w:r>
      <w:r w:rsidRPr="00170C89">
        <w:rPr>
          <w:rFonts w:ascii="仿宋_GB2312" w:eastAsia="仿宋_GB2312" w:hAnsi="ˎ̥" w:cs="Tahoma" w:hint="eastAsia"/>
          <w:kern w:val="0"/>
          <w:sz w:val="32"/>
          <w:szCs w:val="32"/>
        </w:rPr>
        <w:t>通过审计检查、纪检监察、合</w:t>
      </w:r>
      <w:proofErr w:type="gramStart"/>
      <w:r w:rsidRPr="00170C89">
        <w:rPr>
          <w:rFonts w:ascii="仿宋_GB2312" w:eastAsia="仿宋_GB2312" w:hAnsi="ˎ̥" w:cs="Tahoma" w:hint="eastAsia"/>
          <w:kern w:val="0"/>
          <w:sz w:val="32"/>
          <w:szCs w:val="32"/>
        </w:rPr>
        <w:t>规</w:t>
      </w:r>
      <w:proofErr w:type="gramEnd"/>
      <w:r w:rsidRPr="00170C89">
        <w:rPr>
          <w:rFonts w:ascii="仿宋_GB2312" w:eastAsia="仿宋_GB2312" w:hAnsi="ˎ̥" w:cs="Tahoma" w:hint="eastAsia"/>
          <w:kern w:val="0"/>
          <w:sz w:val="32"/>
          <w:szCs w:val="32"/>
        </w:rPr>
        <w:t>审查、举报投诉等一系列方式加强内部监督，对</w:t>
      </w:r>
      <w:r w:rsidRPr="00170C89">
        <w:rPr>
          <w:rFonts w:ascii="仿宋_GB2312" w:eastAsia="仿宋_GB2312" w:hint="eastAsia"/>
          <w:color w:val="000000" w:themeColor="text1"/>
          <w:sz w:val="32"/>
          <w:szCs w:val="32"/>
        </w:rPr>
        <w:t>违规行为加大处罚力度</w:t>
      </w:r>
      <w:r w:rsidRPr="00170C89">
        <w:rPr>
          <w:rFonts w:ascii="仿宋_GB2312" w:eastAsia="仿宋_GB2312" w:hAnsi="ˎ̥" w:cs="Tahoma" w:hint="eastAsia"/>
          <w:kern w:val="0"/>
          <w:sz w:val="32"/>
          <w:szCs w:val="32"/>
        </w:rPr>
        <w:t>。</w:t>
      </w:r>
    </w:p>
    <w:p w:rsidR="00D42853" w:rsidRDefault="00D42853" w:rsidP="003B6511">
      <w:pPr>
        <w:spacing w:line="560" w:lineRule="exact"/>
        <w:jc w:val="center"/>
        <w:rPr>
          <w:rFonts w:ascii="黑体" w:eastAsia="黑体" w:hAnsi="宋体" w:cs="Tahoma"/>
          <w:color w:val="000000" w:themeColor="text1"/>
          <w:kern w:val="0"/>
          <w:sz w:val="30"/>
          <w:szCs w:val="30"/>
        </w:rPr>
      </w:pPr>
    </w:p>
    <w:p w:rsidR="003B6511" w:rsidRPr="00170C89" w:rsidRDefault="003B6511" w:rsidP="003B6511">
      <w:pPr>
        <w:spacing w:line="560" w:lineRule="exact"/>
        <w:jc w:val="center"/>
        <w:rPr>
          <w:rFonts w:ascii="黑体" w:eastAsia="黑体" w:hAnsi="宋体" w:cs="Tahoma"/>
          <w:color w:val="000000" w:themeColor="text1"/>
          <w:kern w:val="0"/>
          <w:sz w:val="32"/>
          <w:szCs w:val="32"/>
        </w:rPr>
      </w:pPr>
      <w:r w:rsidRPr="00170C89">
        <w:rPr>
          <w:rFonts w:ascii="黑体" w:eastAsia="黑体" w:hAnsi="宋体" w:cs="Tahoma" w:hint="eastAsia"/>
          <w:color w:val="000000" w:themeColor="text1"/>
          <w:kern w:val="0"/>
          <w:sz w:val="32"/>
          <w:szCs w:val="32"/>
        </w:rPr>
        <w:t>第五章</w:t>
      </w:r>
      <w:proofErr w:type="gramStart"/>
      <w:r w:rsidRPr="00170C89">
        <w:rPr>
          <w:rFonts w:ascii="黑体" w:eastAsia="黑体" w:hAnsi="宋体" w:cs="Tahoma" w:hint="eastAsia"/>
          <w:color w:val="000000" w:themeColor="text1"/>
          <w:kern w:val="0"/>
          <w:sz w:val="32"/>
          <w:szCs w:val="32"/>
        </w:rPr>
        <w:t xml:space="preserve">　股本</w:t>
      </w:r>
      <w:proofErr w:type="gramEnd"/>
      <w:r w:rsidRPr="00170C89">
        <w:rPr>
          <w:rFonts w:ascii="黑体" w:eastAsia="黑体" w:hAnsi="宋体" w:cs="Tahoma" w:hint="eastAsia"/>
          <w:color w:val="000000" w:themeColor="text1"/>
          <w:kern w:val="0"/>
          <w:sz w:val="32"/>
          <w:szCs w:val="32"/>
        </w:rPr>
        <w:t>及股东情况</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一、股本结构</w:t>
      </w:r>
    </w:p>
    <w:p w:rsidR="003B6511" w:rsidRPr="00B65EC5" w:rsidRDefault="003B6511" w:rsidP="00851BF4">
      <w:pPr>
        <w:ind w:right="100" w:firstLineChars="200" w:firstLine="400"/>
        <w:jc w:val="right"/>
        <w:rPr>
          <w:rFonts w:ascii="Times New Roman" w:eastAsia="宋体" w:hAnsi="ˎ̥" w:cs="Times New Roman" w:hint="eastAsia"/>
          <w:color w:val="000000" w:themeColor="text1"/>
          <w:kern w:val="0"/>
          <w:sz w:val="20"/>
          <w:szCs w:val="20"/>
        </w:rPr>
      </w:pPr>
      <w:r w:rsidRPr="00B65EC5">
        <w:rPr>
          <w:rFonts w:ascii="Times New Roman" w:eastAsia="宋体" w:hAnsi="ˎ̥" w:cs="Times New Roman" w:hint="eastAsia"/>
          <w:color w:val="000000" w:themeColor="text1"/>
          <w:kern w:val="0"/>
          <w:sz w:val="20"/>
          <w:szCs w:val="20"/>
        </w:rPr>
        <w:t>单位：人民币万元、</w:t>
      </w:r>
      <w:r w:rsidRPr="00B65EC5">
        <w:rPr>
          <w:rFonts w:ascii="Times New Roman" w:eastAsia="宋体" w:hAnsi="ˎ̥" w:cs="Times New Roman" w:hint="eastAsia"/>
          <w:color w:val="000000" w:themeColor="text1"/>
          <w:kern w:val="0"/>
          <w:sz w:val="20"/>
          <w:szCs w:val="20"/>
        </w:rPr>
        <w:t>%</w:t>
      </w:r>
    </w:p>
    <w:tbl>
      <w:tblPr>
        <w:tblW w:w="493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460"/>
        <w:gridCol w:w="1461"/>
        <w:gridCol w:w="1459"/>
        <w:gridCol w:w="1461"/>
        <w:gridCol w:w="1459"/>
        <w:gridCol w:w="1459"/>
      </w:tblGrid>
      <w:tr w:rsidR="003B6511" w:rsidRPr="00495683" w:rsidTr="00D0000B">
        <w:trPr>
          <w:trHeight w:val="65"/>
          <w:tblCellSpacing w:w="0" w:type="dxa"/>
          <w:jc w:val="center"/>
        </w:trPr>
        <w:tc>
          <w:tcPr>
            <w:tcW w:w="1667" w:type="pct"/>
            <w:gridSpan w:val="2"/>
            <w:vAlign w:val="center"/>
          </w:tcPr>
          <w:p w:rsidR="003B6511" w:rsidRPr="00495683" w:rsidRDefault="003B6511" w:rsidP="00B528D0">
            <w:pPr>
              <w:jc w:val="center"/>
              <w:rPr>
                <w:color w:val="000000" w:themeColor="text1"/>
                <w:kern w:val="0"/>
                <w:sz w:val="20"/>
                <w:szCs w:val="20"/>
              </w:rPr>
            </w:pPr>
            <w:r w:rsidRPr="00495683">
              <w:rPr>
                <w:rFonts w:hAnsi="ˎ̥" w:hint="eastAsia"/>
                <w:color w:val="000000" w:themeColor="text1"/>
                <w:kern w:val="0"/>
                <w:sz w:val="20"/>
                <w:szCs w:val="20"/>
              </w:rPr>
              <w:t>项目</w:t>
            </w:r>
          </w:p>
        </w:tc>
        <w:tc>
          <w:tcPr>
            <w:tcW w:w="833" w:type="pct"/>
            <w:vAlign w:val="center"/>
          </w:tcPr>
          <w:p w:rsidR="003B6511" w:rsidRPr="00495683" w:rsidRDefault="003B6511" w:rsidP="00B528D0">
            <w:pPr>
              <w:widowControl/>
              <w:jc w:val="center"/>
              <w:rPr>
                <w:color w:val="000000" w:themeColor="text1"/>
                <w:kern w:val="0"/>
                <w:sz w:val="20"/>
                <w:szCs w:val="20"/>
              </w:rPr>
            </w:pPr>
            <w:r w:rsidRPr="00495683">
              <w:rPr>
                <w:rFonts w:hint="eastAsia"/>
                <w:color w:val="000000" w:themeColor="text1"/>
                <w:kern w:val="0"/>
                <w:sz w:val="20"/>
                <w:szCs w:val="20"/>
              </w:rPr>
              <w:t>员工股</w:t>
            </w:r>
          </w:p>
        </w:tc>
        <w:tc>
          <w:tcPr>
            <w:tcW w:w="834" w:type="pct"/>
            <w:vAlign w:val="center"/>
          </w:tcPr>
          <w:p w:rsidR="003B6511" w:rsidRPr="00495683" w:rsidRDefault="003B6511" w:rsidP="00B528D0">
            <w:pPr>
              <w:jc w:val="center"/>
              <w:rPr>
                <w:color w:val="000000" w:themeColor="text1"/>
                <w:kern w:val="0"/>
                <w:sz w:val="20"/>
                <w:szCs w:val="20"/>
              </w:rPr>
            </w:pPr>
            <w:r w:rsidRPr="00495683">
              <w:rPr>
                <w:rFonts w:hint="eastAsia"/>
                <w:color w:val="000000" w:themeColor="text1"/>
                <w:kern w:val="0"/>
                <w:sz w:val="20"/>
                <w:szCs w:val="20"/>
              </w:rPr>
              <w:t>自然人股</w:t>
            </w:r>
          </w:p>
        </w:tc>
        <w:tc>
          <w:tcPr>
            <w:tcW w:w="833" w:type="pct"/>
            <w:vAlign w:val="center"/>
          </w:tcPr>
          <w:p w:rsidR="003B6511" w:rsidRPr="00495683" w:rsidRDefault="003B6511" w:rsidP="00B528D0">
            <w:pPr>
              <w:jc w:val="center"/>
              <w:rPr>
                <w:color w:val="000000" w:themeColor="text1"/>
                <w:kern w:val="0"/>
                <w:sz w:val="20"/>
                <w:szCs w:val="20"/>
              </w:rPr>
            </w:pPr>
            <w:r w:rsidRPr="00495683">
              <w:rPr>
                <w:rFonts w:hint="eastAsia"/>
                <w:color w:val="000000" w:themeColor="text1"/>
                <w:kern w:val="0"/>
                <w:sz w:val="20"/>
                <w:szCs w:val="20"/>
              </w:rPr>
              <w:t>法人股</w:t>
            </w:r>
          </w:p>
        </w:tc>
        <w:tc>
          <w:tcPr>
            <w:tcW w:w="833" w:type="pct"/>
            <w:vAlign w:val="center"/>
          </w:tcPr>
          <w:p w:rsidR="003B6511" w:rsidRPr="00495683" w:rsidRDefault="003B6511" w:rsidP="00B528D0">
            <w:pPr>
              <w:jc w:val="center"/>
              <w:rPr>
                <w:color w:val="000000" w:themeColor="text1"/>
                <w:kern w:val="0"/>
                <w:sz w:val="20"/>
                <w:szCs w:val="20"/>
              </w:rPr>
            </w:pPr>
            <w:r w:rsidRPr="00495683">
              <w:rPr>
                <w:rFonts w:hint="eastAsia"/>
                <w:color w:val="000000" w:themeColor="text1"/>
                <w:kern w:val="0"/>
                <w:sz w:val="20"/>
                <w:szCs w:val="20"/>
              </w:rPr>
              <w:t>合　计</w:t>
            </w:r>
          </w:p>
        </w:tc>
      </w:tr>
      <w:tr w:rsidR="003B6511" w:rsidRPr="00495683" w:rsidTr="00D0000B">
        <w:trPr>
          <w:trHeight w:val="65"/>
          <w:tblCellSpacing w:w="0" w:type="dxa"/>
          <w:jc w:val="center"/>
        </w:trPr>
        <w:tc>
          <w:tcPr>
            <w:tcW w:w="833" w:type="pct"/>
            <w:vMerge w:val="restart"/>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r w:rsidRPr="00495683">
              <w:rPr>
                <w:rFonts w:hAnsi="ˎ̥" w:hint="eastAsia"/>
                <w:color w:val="000000" w:themeColor="text1"/>
                <w:kern w:val="0"/>
                <w:sz w:val="20"/>
                <w:szCs w:val="20"/>
              </w:rPr>
              <w:t>期初数</w:t>
            </w: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户数</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总股本</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占比</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r>
      <w:tr w:rsidR="003B6511" w:rsidRPr="00495683" w:rsidTr="00D0000B">
        <w:trPr>
          <w:trHeight w:val="65"/>
          <w:tblCellSpacing w:w="0" w:type="dxa"/>
          <w:jc w:val="center"/>
        </w:trPr>
        <w:tc>
          <w:tcPr>
            <w:tcW w:w="833" w:type="pct"/>
            <w:vMerge w:val="restart"/>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r w:rsidRPr="00495683">
              <w:rPr>
                <w:rFonts w:hAnsi="ˎ̥" w:hint="eastAsia"/>
                <w:color w:val="000000" w:themeColor="text1"/>
                <w:kern w:val="0"/>
                <w:sz w:val="20"/>
                <w:szCs w:val="20"/>
              </w:rPr>
              <w:t>期末数</w:t>
            </w: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户数</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总股本</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占比</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r>
      <w:tr w:rsidR="003B6511" w:rsidRPr="00495683" w:rsidTr="00D0000B">
        <w:trPr>
          <w:trHeight w:val="65"/>
          <w:tblCellSpacing w:w="0" w:type="dxa"/>
          <w:jc w:val="center"/>
        </w:trPr>
        <w:tc>
          <w:tcPr>
            <w:tcW w:w="833" w:type="pct"/>
            <w:vMerge w:val="restart"/>
            <w:vAlign w:val="center"/>
          </w:tcPr>
          <w:p w:rsidR="003B6511" w:rsidRPr="00495683" w:rsidRDefault="003B6511" w:rsidP="00EF2C02">
            <w:pPr>
              <w:widowControl/>
              <w:spacing w:line="280" w:lineRule="exact"/>
              <w:ind w:firstLineChars="50" w:firstLine="100"/>
              <w:jc w:val="center"/>
              <w:rPr>
                <w:color w:val="000000" w:themeColor="text1"/>
                <w:kern w:val="0"/>
                <w:sz w:val="20"/>
                <w:szCs w:val="20"/>
              </w:rPr>
            </w:pPr>
            <w:r w:rsidRPr="00495683">
              <w:rPr>
                <w:rFonts w:hint="eastAsia"/>
                <w:color w:val="000000" w:themeColor="text1"/>
                <w:kern w:val="0"/>
                <w:sz w:val="20"/>
                <w:szCs w:val="20"/>
              </w:rPr>
              <w:t>变动情况</w:t>
            </w: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户数</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r w:rsidR="003B6511" w:rsidRPr="00495683" w:rsidTr="00D0000B">
        <w:trPr>
          <w:trHeight w:val="65"/>
          <w:tblCellSpacing w:w="0" w:type="dxa"/>
          <w:jc w:val="center"/>
        </w:trPr>
        <w:tc>
          <w:tcPr>
            <w:tcW w:w="833" w:type="pct"/>
            <w:vMerge/>
            <w:vAlign w:val="center"/>
          </w:tcPr>
          <w:p w:rsidR="003B6511" w:rsidRPr="00495683" w:rsidRDefault="003B6511" w:rsidP="00B528D0">
            <w:pPr>
              <w:widowControl/>
              <w:spacing w:line="280" w:lineRule="exact"/>
              <w:ind w:firstLineChars="50" w:firstLine="100"/>
              <w:rPr>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总股本</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r w:rsidR="003B6511" w:rsidRPr="00495683" w:rsidTr="00D0000B">
        <w:trPr>
          <w:trHeight w:val="65"/>
          <w:tblCellSpacing w:w="0" w:type="dxa"/>
          <w:jc w:val="center"/>
        </w:trPr>
        <w:tc>
          <w:tcPr>
            <w:tcW w:w="833" w:type="pct"/>
            <w:vMerge/>
            <w:vAlign w:val="center"/>
          </w:tcPr>
          <w:p w:rsidR="003B6511" w:rsidRPr="00495683" w:rsidRDefault="003B6511" w:rsidP="00B528D0">
            <w:pPr>
              <w:widowControl/>
              <w:spacing w:line="280" w:lineRule="exact"/>
              <w:ind w:firstLineChars="50" w:firstLine="100"/>
              <w:rPr>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占比</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bl>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lastRenderedPageBreak/>
        <w:t>二、股东及持股情况</w:t>
      </w:r>
    </w:p>
    <w:p w:rsidR="003B6511" w:rsidRPr="00B65EC5" w:rsidRDefault="003B6511" w:rsidP="00851BF4">
      <w:pPr>
        <w:ind w:right="100" w:firstLineChars="200" w:firstLine="400"/>
        <w:jc w:val="right"/>
        <w:rPr>
          <w:rFonts w:ascii="Times New Roman" w:eastAsia="宋体" w:hAnsi="ˎ̥" w:cs="Times New Roman" w:hint="eastAsia"/>
          <w:color w:val="000000" w:themeColor="text1"/>
          <w:kern w:val="0"/>
          <w:sz w:val="20"/>
          <w:szCs w:val="20"/>
        </w:rPr>
      </w:pPr>
      <w:r w:rsidRPr="00B65EC5">
        <w:rPr>
          <w:rFonts w:ascii="Times New Roman" w:eastAsia="宋体" w:hAnsi="ˎ̥" w:cs="Times New Roman" w:hint="eastAsia"/>
          <w:color w:val="000000" w:themeColor="text1"/>
          <w:kern w:val="0"/>
          <w:sz w:val="20"/>
          <w:szCs w:val="20"/>
        </w:rPr>
        <w:t>单位：人民币万元、</w:t>
      </w:r>
      <w:r w:rsidRPr="00B65EC5">
        <w:rPr>
          <w:rFonts w:ascii="Times New Roman" w:eastAsia="宋体" w:hAnsi="ˎ̥" w:cs="Times New Roman" w:hint="eastAsia"/>
          <w:color w:val="000000" w:themeColor="text1"/>
          <w:kern w:val="0"/>
          <w:sz w:val="20"/>
          <w:szCs w:val="20"/>
        </w:rPr>
        <w:t>%</w:t>
      </w:r>
    </w:p>
    <w:tbl>
      <w:tblPr>
        <w:tblW w:w="5000" w:type="pct"/>
        <w:jc w:val="center"/>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67"/>
        <w:gridCol w:w="1258"/>
        <w:gridCol w:w="1418"/>
        <w:gridCol w:w="1416"/>
        <w:gridCol w:w="1415"/>
      </w:tblGrid>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股东名称</w:t>
            </w:r>
            <w:r w:rsidRPr="00495683">
              <w:rPr>
                <w:rFonts w:hAnsi="ˎ̥" w:hint="eastAsia"/>
                <w:color w:val="000000" w:themeColor="text1"/>
                <w:kern w:val="0"/>
                <w:sz w:val="20"/>
                <w:szCs w:val="20"/>
              </w:rPr>
              <w:t>或姓名</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法人代表</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期末数</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期初数</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占总股本比例</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浙江德清农村商业银行股份有限公司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proofErr w:type="gramStart"/>
            <w:r w:rsidRPr="00495683">
              <w:rPr>
                <w:rFonts w:asciiTheme="minorEastAsia" w:hAnsiTheme="minorEastAsia" w:cs="宋体" w:hint="eastAsia"/>
                <w:color w:val="000000" w:themeColor="text1"/>
                <w:sz w:val="20"/>
                <w:szCs w:val="20"/>
              </w:rPr>
              <w:t>施贤军</w:t>
            </w:r>
            <w:proofErr w:type="gramEnd"/>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8750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8750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41.667</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海宁市富豪达经编有限公司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proofErr w:type="gramStart"/>
            <w:r w:rsidRPr="00495683">
              <w:rPr>
                <w:rFonts w:asciiTheme="minorEastAsia" w:hAnsiTheme="minorEastAsia" w:cs="宋体" w:hint="eastAsia"/>
                <w:color w:val="000000" w:themeColor="text1"/>
                <w:sz w:val="20"/>
                <w:szCs w:val="20"/>
              </w:rPr>
              <w:t>凌</w:t>
            </w:r>
            <w:proofErr w:type="gramEnd"/>
            <w:r w:rsidRPr="00495683">
              <w:rPr>
                <w:rFonts w:asciiTheme="minorEastAsia" w:hAnsiTheme="minorEastAsia" w:cs="宋体" w:hint="eastAsia"/>
                <w:color w:val="000000" w:themeColor="text1"/>
                <w:sz w:val="20"/>
                <w:szCs w:val="20"/>
              </w:rPr>
              <w:t>坚强</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海宁市邬氏布业有限公司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邬月平</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海宁市海纳家纺有限公司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proofErr w:type="gramStart"/>
            <w:r w:rsidRPr="00495683">
              <w:rPr>
                <w:rFonts w:asciiTheme="minorEastAsia" w:hAnsiTheme="minorEastAsia" w:cs="宋体" w:hint="eastAsia"/>
                <w:color w:val="000000" w:themeColor="text1"/>
                <w:sz w:val="20"/>
                <w:szCs w:val="20"/>
              </w:rPr>
              <w:t>沈雅平</w:t>
            </w:r>
            <w:proofErr w:type="gramEnd"/>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杭州源和燃料有限公司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proofErr w:type="gramStart"/>
            <w:r w:rsidRPr="00495683">
              <w:rPr>
                <w:rFonts w:asciiTheme="minorEastAsia" w:hAnsiTheme="minorEastAsia" w:cs="宋体" w:hint="eastAsia"/>
                <w:color w:val="000000" w:themeColor="text1"/>
                <w:sz w:val="20"/>
                <w:szCs w:val="20"/>
              </w:rPr>
              <w:t>许松传</w:t>
            </w:r>
            <w:proofErr w:type="gramEnd"/>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浙江海宁农村商业银行股份有限公司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孙卫国</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1250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1250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5.952</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德清县中能热电有限公司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姚建华</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950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950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4.524</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B62B2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w:t>
            </w:r>
            <w:r w:rsidR="001578FB">
              <w:rPr>
                <w:rFonts w:asciiTheme="minorEastAsia" w:hAnsiTheme="minorEastAsia" w:cs="宋体" w:hint="eastAsia"/>
                <w:color w:val="000000" w:themeColor="text1"/>
                <w:sz w:val="20"/>
                <w:szCs w:val="20"/>
              </w:rPr>
              <w:t>市</w:t>
            </w:r>
            <w:r w:rsidR="00B62B22">
              <w:rPr>
                <w:rFonts w:asciiTheme="minorEastAsia" w:hAnsiTheme="minorEastAsia" w:cs="宋体" w:hint="eastAsia"/>
                <w:color w:val="000000" w:themeColor="text1"/>
                <w:sz w:val="20"/>
                <w:szCs w:val="20"/>
              </w:rPr>
              <w:t>恒力现代纺织</w:t>
            </w:r>
            <w:r w:rsidRPr="00495683">
              <w:rPr>
                <w:rFonts w:asciiTheme="minorEastAsia" w:hAnsiTheme="minorEastAsia" w:cs="宋体" w:hint="eastAsia"/>
                <w:color w:val="000000" w:themeColor="text1"/>
                <w:sz w:val="20"/>
                <w:szCs w:val="20"/>
              </w:rPr>
              <w:t>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B62B22" w:rsidP="00EF2C02">
            <w:pPr>
              <w:jc w:val="center"/>
              <w:rPr>
                <w:rFonts w:asciiTheme="minorEastAsia" w:hAnsiTheme="minorEastAsia" w:cs="宋体"/>
                <w:color w:val="000000" w:themeColor="text1"/>
                <w:sz w:val="20"/>
                <w:szCs w:val="20"/>
              </w:rPr>
            </w:pPr>
            <w:proofErr w:type="gramStart"/>
            <w:r>
              <w:rPr>
                <w:rFonts w:asciiTheme="minorEastAsia" w:hAnsiTheme="minorEastAsia" w:cs="宋体" w:hint="eastAsia"/>
                <w:color w:val="000000" w:themeColor="text1"/>
                <w:sz w:val="20"/>
                <w:szCs w:val="20"/>
              </w:rPr>
              <w:t>杨思银</w:t>
            </w:r>
            <w:proofErr w:type="gramEnd"/>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750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750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3.571</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w:t>
            </w:r>
            <w:proofErr w:type="gramStart"/>
            <w:r w:rsidRPr="00495683">
              <w:rPr>
                <w:rFonts w:asciiTheme="minorEastAsia" w:hAnsiTheme="minorEastAsia" w:cs="宋体" w:hint="eastAsia"/>
                <w:color w:val="000000" w:themeColor="text1"/>
                <w:sz w:val="20"/>
                <w:szCs w:val="20"/>
              </w:rPr>
              <w:t>缔亿经</w:t>
            </w:r>
            <w:proofErr w:type="gramEnd"/>
            <w:r w:rsidRPr="00495683">
              <w:rPr>
                <w:rFonts w:asciiTheme="minorEastAsia" w:hAnsiTheme="minorEastAsia" w:cs="宋体" w:hint="eastAsia"/>
                <w:color w:val="000000" w:themeColor="text1"/>
                <w:sz w:val="20"/>
                <w:szCs w:val="20"/>
              </w:rPr>
              <w:t>编有限公司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proofErr w:type="gramStart"/>
            <w:r w:rsidRPr="00495683">
              <w:rPr>
                <w:rFonts w:asciiTheme="minorEastAsia" w:hAnsiTheme="minorEastAsia" w:cs="宋体" w:hint="eastAsia"/>
                <w:color w:val="000000" w:themeColor="text1"/>
                <w:sz w:val="20"/>
                <w:szCs w:val="20"/>
              </w:rPr>
              <w:t>虞敏杰</w:t>
            </w:r>
            <w:proofErr w:type="gramEnd"/>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2.143</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B62B22" w:rsidP="00EF2C02">
            <w:pPr>
              <w:jc w:val="center"/>
              <w:rPr>
                <w:rFonts w:asciiTheme="minorEastAsia" w:hAnsiTheme="minorEastAsia" w:cs="宋体"/>
                <w:color w:val="000000" w:themeColor="text1"/>
                <w:sz w:val="20"/>
                <w:szCs w:val="20"/>
              </w:rPr>
            </w:pPr>
            <w:r>
              <w:rPr>
                <w:rFonts w:asciiTheme="minorEastAsia" w:hAnsiTheme="minorEastAsia" w:cs="宋体" w:hint="eastAsia"/>
                <w:color w:val="000000" w:themeColor="text1"/>
                <w:sz w:val="20"/>
                <w:szCs w:val="20"/>
              </w:rPr>
              <w:t>浙江成元实业</w:t>
            </w:r>
            <w:r w:rsidR="003B6511" w:rsidRPr="00495683">
              <w:rPr>
                <w:rFonts w:asciiTheme="minorEastAsia" w:hAnsiTheme="minorEastAsia" w:cs="宋体" w:hint="eastAsia"/>
                <w:color w:val="000000" w:themeColor="text1"/>
                <w:sz w:val="20"/>
                <w:szCs w:val="20"/>
              </w:rPr>
              <w:t>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陈云初</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2.143</w:t>
            </w:r>
          </w:p>
        </w:tc>
      </w:tr>
      <w:tr w:rsidR="003B6511" w:rsidRPr="00B65EC5"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B65EC5" w:rsidRDefault="003B6511" w:rsidP="00EF2C02">
            <w:pPr>
              <w:spacing w:line="280" w:lineRule="exact"/>
              <w:jc w:val="center"/>
              <w:rPr>
                <w:rFonts w:ascii="仿宋_GB2312" w:eastAsia="仿宋_GB2312" w:hAnsiTheme="minorEastAsia"/>
                <w:color w:val="000000" w:themeColor="text1"/>
                <w:sz w:val="20"/>
                <w:szCs w:val="20"/>
              </w:rPr>
            </w:pPr>
            <w:proofErr w:type="gramStart"/>
            <w:r w:rsidRPr="00213D1E">
              <w:rPr>
                <w:rFonts w:asciiTheme="minorEastAsia" w:hAnsiTheme="minorEastAsia" w:cs="宋体" w:hint="eastAsia"/>
                <w:color w:val="000000" w:themeColor="text1"/>
                <w:sz w:val="20"/>
                <w:szCs w:val="20"/>
              </w:rPr>
              <w:t xml:space="preserve">合　　</w:t>
            </w:r>
            <w:proofErr w:type="gramEnd"/>
            <w:r w:rsidRPr="00213D1E">
              <w:rPr>
                <w:rFonts w:asciiTheme="minorEastAsia" w:hAnsiTheme="minorEastAsia" w:cs="宋体" w:hint="eastAsia"/>
                <w:color w:val="000000" w:themeColor="text1"/>
                <w:sz w:val="20"/>
                <w:szCs w:val="20"/>
              </w:rPr>
              <w:t>计</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B65EC5" w:rsidRDefault="003B6511" w:rsidP="00EF2C02">
            <w:pPr>
              <w:jc w:val="center"/>
              <w:rPr>
                <w:rFonts w:ascii="仿宋_GB2312" w:eastAsia="仿宋_GB2312" w:hAnsiTheme="minorEastAsia" w:cs="宋体"/>
                <w:color w:val="000000" w:themeColor="text1"/>
                <w:sz w:val="20"/>
                <w:szCs w:val="20"/>
              </w:rPr>
            </w:pP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213D1E" w:rsidRDefault="003B6511" w:rsidP="00EF2C02">
            <w:pPr>
              <w:jc w:val="center"/>
              <w:rPr>
                <w:rFonts w:asciiTheme="minorEastAsia" w:hAnsiTheme="minorEastAsia" w:cs="宋体"/>
                <w:color w:val="000000" w:themeColor="text1"/>
                <w:sz w:val="20"/>
                <w:szCs w:val="20"/>
              </w:rPr>
            </w:pPr>
            <w:r w:rsidRPr="00213D1E">
              <w:rPr>
                <w:rFonts w:asciiTheme="minorEastAsia" w:hAnsiTheme="minorEastAsia" w:cs="宋体" w:hint="eastAsia"/>
                <w:color w:val="000000" w:themeColor="text1"/>
                <w:sz w:val="20"/>
                <w:szCs w:val="20"/>
              </w:rPr>
              <w:t>21000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213D1E" w:rsidRDefault="003B6511" w:rsidP="00EF2C02">
            <w:pPr>
              <w:jc w:val="center"/>
              <w:rPr>
                <w:rFonts w:asciiTheme="minorEastAsia" w:hAnsiTheme="minorEastAsia" w:cs="宋体"/>
                <w:color w:val="000000" w:themeColor="text1"/>
                <w:sz w:val="20"/>
                <w:szCs w:val="20"/>
              </w:rPr>
            </w:pPr>
            <w:r w:rsidRPr="00213D1E">
              <w:rPr>
                <w:rFonts w:asciiTheme="minorEastAsia" w:hAnsiTheme="minorEastAsia" w:cs="宋体" w:hint="eastAsia"/>
                <w:color w:val="000000" w:themeColor="text1"/>
                <w:sz w:val="20"/>
                <w:szCs w:val="20"/>
              </w:rPr>
              <w:t>21000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213D1E" w:rsidRDefault="003B6511" w:rsidP="00EF2C02">
            <w:pPr>
              <w:jc w:val="center"/>
              <w:rPr>
                <w:rFonts w:asciiTheme="minorEastAsia" w:hAnsiTheme="minorEastAsia" w:cs="宋体"/>
                <w:color w:val="000000" w:themeColor="text1"/>
                <w:sz w:val="20"/>
                <w:szCs w:val="20"/>
              </w:rPr>
            </w:pPr>
            <w:r w:rsidRPr="00213D1E">
              <w:rPr>
                <w:rFonts w:asciiTheme="minorEastAsia" w:hAnsiTheme="minorEastAsia" w:cs="宋体" w:hint="eastAsia"/>
                <w:color w:val="000000" w:themeColor="text1"/>
                <w:sz w:val="20"/>
                <w:szCs w:val="20"/>
              </w:rPr>
              <w:t>100%</w:t>
            </w:r>
          </w:p>
        </w:tc>
      </w:tr>
    </w:tbl>
    <w:p w:rsidR="00851BF4"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本行最大单个法人持股8750万股，占总股本比例41.667%，单个法人股东持股比例符合《村镇银行管理暂行规定》和本行《章程》。</w:t>
      </w:r>
    </w:p>
    <w:p w:rsidR="004E3B38" w:rsidRPr="00851BF4" w:rsidRDefault="004E3B38" w:rsidP="00607601">
      <w:pPr>
        <w:spacing w:line="560" w:lineRule="exact"/>
        <w:ind w:firstLineChars="200" w:firstLine="600"/>
        <w:rPr>
          <w:rFonts w:ascii="仿宋_GB2312" w:eastAsia="仿宋_GB2312" w:hAnsi="ˎ̥" w:cs="Tahoma" w:hint="eastAsia"/>
          <w:color w:val="000000" w:themeColor="text1"/>
          <w:kern w:val="0"/>
          <w:sz w:val="30"/>
          <w:szCs w:val="30"/>
        </w:rPr>
      </w:pPr>
    </w:p>
    <w:p w:rsidR="003B6511" w:rsidRPr="00170C89" w:rsidRDefault="003B6511" w:rsidP="003B6511">
      <w:pPr>
        <w:spacing w:line="560" w:lineRule="exact"/>
        <w:jc w:val="center"/>
        <w:rPr>
          <w:rFonts w:ascii="黑体" w:eastAsia="黑体"/>
          <w:color w:val="000000" w:themeColor="text1"/>
          <w:sz w:val="32"/>
          <w:szCs w:val="32"/>
        </w:rPr>
      </w:pPr>
      <w:r w:rsidRPr="00170C89">
        <w:rPr>
          <w:rFonts w:ascii="黑体" w:eastAsia="黑体" w:hint="eastAsia"/>
          <w:color w:val="000000" w:themeColor="text1"/>
          <w:sz w:val="32"/>
          <w:szCs w:val="32"/>
        </w:rPr>
        <w:t>第六章　董事、监事、高级管理人员和员工情况</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一、</w:t>
      </w:r>
      <w:r w:rsidRPr="00170C89">
        <w:rPr>
          <w:rFonts w:ascii="黑体" w:eastAsia="黑体" w:hint="eastAsia"/>
          <w:color w:val="000000" w:themeColor="text1"/>
          <w:sz w:val="32"/>
          <w:szCs w:val="32"/>
        </w:rPr>
        <w:t>董事、监事、高级管理人员情况</w:t>
      </w:r>
    </w:p>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（一）董事</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03"/>
        <w:gridCol w:w="685"/>
        <w:gridCol w:w="490"/>
        <w:gridCol w:w="784"/>
        <w:gridCol w:w="882"/>
        <w:gridCol w:w="3335"/>
        <w:gridCol w:w="786"/>
        <w:gridCol w:w="1109"/>
      </w:tblGrid>
      <w:tr w:rsidR="003B6511" w:rsidRPr="00495683" w:rsidTr="00B528D0">
        <w:trPr>
          <w:trHeight w:val="50"/>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职务</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姓名</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性别</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出生年月</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学历</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任职单位及职务</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是否</w:t>
            </w:r>
            <w:r w:rsidR="003B6511" w:rsidRPr="00495683">
              <w:rPr>
                <w:rFonts w:ascii="ˎ̥" w:hAnsi="ˎ̥" w:cs="Tahoma" w:hint="eastAsia"/>
                <w:color w:val="000000" w:themeColor="text1"/>
                <w:kern w:val="0"/>
                <w:sz w:val="18"/>
                <w:szCs w:val="18"/>
              </w:rPr>
              <w:t>领取薪酬</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派出机构</w:t>
            </w:r>
            <w:r w:rsidR="003B6511" w:rsidRPr="00495683">
              <w:rPr>
                <w:rFonts w:ascii="ˎ̥" w:hAnsi="ˎ̥" w:cs="Tahoma" w:hint="eastAsia"/>
                <w:color w:val="000000" w:themeColor="text1"/>
                <w:kern w:val="0"/>
                <w:sz w:val="18"/>
                <w:szCs w:val="18"/>
              </w:rPr>
              <w:t>持有股份</w:t>
            </w:r>
            <w:r w:rsidR="003B6511" w:rsidRPr="00495683">
              <w:rPr>
                <w:rFonts w:ascii="ˎ̥" w:hAnsi="ˎ̥" w:cs="Tahoma" w:hint="eastAsia"/>
                <w:color w:val="000000" w:themeColor="text1"/>
                <w:kern w:val="0"/>
                <w:sz w:val="18"/>
                <w:szCs w:val="18"/>
              </w:rPr>
              <w:t>(</w:t>
            </w:r>
            <w:r>
              <w:rPr>
                <w:rFonts w:ascii="ˎ̥" w:hAnsi="ˎ̥" w:cs="Tahoma" w:hint="eastAsia"/>
                <w:color w:val="000000" w:themeColor="text1"/>
                <w:kern w:val="0"/>
                <w:sz w:val="18"/>
                <w:szCs w:val="18"/>
              </w:rPr>
              <w:t>万</w:t>
            </w:r>
            <w:r w:rsidR="003B6511" w:rsidRPr="00495683">
              <w:rPr>
                <w:rFonts w:ascii="ˎ̥" w:hAnsi="ˎ̥" w:cs="Tahoma" w:hint="eastAsia"/>
                <w:color w:val="000000" w:themeColor="text1"/>
                <w:kern w:val="0"/>
                <w:sz w:val="18"/>
                <w:szCs w:val="18"/>
              </w:rPr>
              <w:t>股</w:t>
            </w:r>
            <w:r w:rsidR="003B6511" w:rsidRPr="00495683">
              <w:rPr>
                <w:rFonts w:ascii="ˎ̥" w:hAnsi="ˎ̥" w:cs="Tahoma" w:hint="eastAsia"/>
                <w:color w:val="000000" w:themeColor="text1"/>
                <w:kern w:val="0"/>
                <w:sz w:val="18"/>
                <w:szCs w:val="18"/>
              </w:rPr>
              <w:t>)</w:t>
            </w:r>
          </w:p>
        </w:tc>
      </w:tr>
      <w:tr w:rsidR="003B6511" w:rsidRPr="00495683" w:rsidTr="008104E6">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董事长</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谢学民</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1967.11</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德清农商银行</w:t>
            </w:r>
            <w:r w:rsidR="00DE60A9">
              <w:rPr>
                <w:rFonts w:ascii="ˎ̥" w:hAnsi="ˎ̥" w:cs="Tahoma" w:hint="eastAsia"/>
                <w:color w:val="000000" w:themeColor="text1"/>
                <w:kern w:val="0"/>
                <w:sz w:val="18"/>
                <w:szCs w:val="18"/>
              </w:rPr>
              <w:t>监事</w:t>
            </w:r>
            <w:r w:rsidRPr="00495683">
              <w:rPr>
                <w:rFonts w:ascii="ˎ̥" w:hAnsi="ˎ̥" w:cs="Tahoma" w:hint="eastAsia"/>
                <w:color w:val="000000" w:themeColor="text1"/>
                <w:kern w:val="0"/>
                <w:sz w:val="18"/>
                <w:szCs w:val="18"/>
              </w:rPr>
              <w:t>长</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495683" w:rsidTr="008104E6">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B62B22" w:rsidP="00333C4F">
            <w:pPr>
              <w:jc w:val="center"/>
              <w:rPr>
                <w:rFonts w:ascii="宋体" w:hAnsi="宋体"/>
                <w:color w:val="000000" w:themeColor="text1"/>
                <w:sz w:val="18"/>
                <w:szCs w:val="18"/>
              </w:rPr>
            </w:pPr>
            <w:r>
              <w:rPr>
                <w:rFonts w:ascii="宋体" w:hAnsi="宋体" w:hint="eastAsia"/>
                <w:color w:val="000000" w:themeColor="text1"/>
                <w:sz w:val="18"/>
                <w:szCs w:val="18"/>
              </w:rPr>
              <w:t>方国锋</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B62B22">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w:t>
            </w:r>
            <w:r w:rsidR="00B62B22">
              <w:rPr>
                <w:rFonts w:ascii="ˎ̥" w:hAnsi="ˎ̥" w:cs="Tahoma" w:hint="eastAsia"/>
                <w:color w:val="000000" w:themeColor="text1"/>
                <w:kern w:val="0"/>
                <w:sz w:val="18"/>
                <w:szCs w:val="18"/>
              </w:rPr>
              <w:t>73.6</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1578FB"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海宁德商村镇银行行长</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是</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495683" w:rsidTr="008104E6">
        <w:trPr>
          <w:trHeight w:val="11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何成松</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1968.8</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海宁德商村镇银行副行长</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是</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495683" w:rsidTr="008104E6">
        <w:trPr>
          <w:trHeight w:val="77"/>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proofErr w:type="gramStart"/>
            <w:r w:rsidRPr="00495683">
              <w:rPr>
                <w:rFonts w:ascii="宋体" w:hAnsi="宋体" w:hint="eastAsia"/>
                <w:color w:val="000000" w:themeColor="text1"/>
                <w:sz w:val="18"/>
                <w:szCs w:val="18"/>
              </w:rPr>
              <w:t>黄根夫</w:t>
            </w:r>
            <w:proofErr w:type="gramEnd"/>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1969.8</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初中</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s="Tahoma"/>
                <w:color w:val="000000" w:themeColor="text1"/>
                <w:kern w:val="0"/>
                <w:sz w:val="18"/>
                <w:szCs w:val="18"/>
              </w:rPr>
            </w:pPr>
            <w:r w:rsidRPr="00495683">
              <w:rPr>
                <w:rFonts w:ascii="宋体" w:hAnsi="宋体" w:cs="Tahoma" w:hint="eastAsia"/>
                <w:color w:val="000000" w:themeColor="text1"/>
                <w:kern w:val="0"/>
                <w:sz w:val="18"/>
                <w:szCs w:val="18"/>
              </w:rPr>
              <w:t>海宁市富豪达经编有限公司副总经理</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2100</w:t>
            </w:r>
          </w:p>
        </w:tc>
      </w:tr>
      <w:tr w:rsidR="003B6511" w:rsidRPr="00495683" w:rsidTr="008104E6">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姚建华</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1968.10</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大专</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s="Tahoma"/>
                <w:color w:val="000000" w:themeColor="text1"/>
                <w:kern w:val="0"/>
                <w:sz w:val="18"/>
                <w:szCs w:val="18"/>
              </w:rPr>
            </w:pPr>
            <w:r w:rsidRPr="00495683">
              <w:rPr>
                <w:rFonts w:ascii="宋体" w:hAnsi="宋体" w:cs="Tahoma" w:hint="eastAsia"/>
                <w:color w:val="000000" w:themeColor="text1"/>
                <w:kern w:val="0"/>
                <w:sz w:val="18"/>
                <w:szCs w:val="18"/>
              </w:rPr>
              <w:t>德清县中能热电有限公司董事长兼总经理</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color w:val="000000" w:themeColor="text1"/>
                <w:sz w:val="18"/>
                <w:szCs w:val="18"/>
              </w:rPr>
            </w:pPr>
            <w:r w:rsidRPr="008104E6">
              <w:rPr>
                <w:rFonts w:hint="eastAsia"/>
                <w:color w:val="000000" w:themeColor="text1"/>
                <w:sz w:val="18"/>
                <w:szCs w:val="18"/>
              </w:rPr>
              <w:t>950</w:t>
            </w:r>
          </w:p>
        </w:tc>
      </w:tr>
    </w:tbl>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（二）监事</w:t>
      </w:r>
    </w:p>
    <w:tbl>
      <w:tblPr>
        <w:tblW w:w="4998"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02"/>
        <w:gridCol w:w="788"/>
        <w:gridCol w:w="566"/>
        <w:gridCol w:w="804"/>
        <w:gridCol w:w="1077"/>
        <w:gridCol w:w="3631"/>
        <w:gridCol w:w="490"/>
        <w:gridCol w:w="812"/>
      </w:tblGrid>
      <w:tr w:rsidR="003B6511" w:rsidRPr="00495683" w:rsidTr="00B528D0">
        <w:trPr>
          <w:trHeight w:val="50"/>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职务</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姓名</w:t>
            </w:r>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性别</w:t>
            </w:r>
          </w:p>
        </w:tc>
        <w:tc>
          <w:tcPr>
            <w:tcW w:w="453" w:type="pct"/>
            <w:tcBorders>
              <w:top w:val="outset" w:sz="6" w:space="0" w:color="auto"/>
              <w:left w:val="outset" w:sz="6" w:space="0" w:color="auto"/>
              <w:bottom w:val="outset" w:sz="6" w:space="0" w:color="auto"/>
              <w:right w:val="outset" w:sz="6" w:space="0" w:color="auto"/>
            </w:tcBorders>
            <w:vAlign w:val="center"/>
          </w:tcPr>
          <w:p w:rsidR="00610B07"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出生</w:t>
            </w:r>
          </w:p>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年月</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学历</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任职单位及职务</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是否</w:t>
            </w:r>
            <w:r w:rsidR="003B6511" w:rsidRPr="00495683">
              <w:rPr>
                <w:rFonts w:ascii="ˎ̥" w:hAnsi="ˎ̥" w:cs="Tahoma" w:hint="eastAsia"/>
                <w:color w:val="000000" w:themeColor="text1"/>
                <w:kern w:val="0"/>
                <w:sz w:val="20"/>
                <w:szCs w:val="20"/>
              </w:rPr>
              <w:t>领取薪酬</w:t>
            </w:r>
          </w:p>
        </w:tc>
        <w:tc>
          <w:tcPr>
            <w:tcW w:w="458" w:type="pct"/>
            <w:tcBorders>
              <w:top w:val="outset" w:sz="6" w:space="0" w:color="auto"/>
              <w:left w:val="outset" w:sz="6" w:space="0" w:color="auto"/>
              <w:bottom w:val="outset" w:sz="6" w:space="0" w:color="auto"/>
              <w:right w:val="outset" w:sz="6" w:space="0" w:color="auto"/>
            </w:tcBorders>
            <w:vAlign w:val="center"/>
          </w:tcPr>
          <w:p w:rsidR="00610B07" w:rsidRDefault="008104E6" w:rsidP="00333C4F">
            <w:pPr>
              <w:widowControl/>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派出机构</w:t>
            </w:r>
            <w:r w:rsidR="003B6511" w:rsidRPr="00495683">
              <w:rPr>
                <w:rFonts w:ascii="ˎ̥" w:hAnsi="ˎ̥" w:cs="Tahoma" w:hint="eastAsia"/>
                <w:color w:val="000000" w:themeColor="text1"/>
                <w:kern w:val="0"/>
                <w:sz w:val="20"/>
                <w:szCs w:val="20"/>
              </w:rPr>
              <w:t>持有股份</w:t>
            </w:r>
          </w:p>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w:t>
            </w:r>
            <w:r w:rsidR="008104E6">
              <w:rPr>
                <w:rFonts w:ascii="ˎ̥" w:hAnsi="ˎ̥" w:cs="Tahoma" w:hint="eastAsia"/>
                <w:color w:val="000000" w:themeColor="text1"/>
                <w:kern w:val="0"/>
                <w:sz w:val="20"/>
                <w:szCs w:val="20"/>
              </w:rPr>
              <w:t>万</w:t>
            </w:r>
            <w:r w:rsidRPr="00495683">
              <w:rPr>
                <w:rFonts w:ascii="ˎ̥" w:hAnsi="ˎ̥" w:cs="Tahoma" w:hint="eastAsia"/>
                <w:color w:val="000000" w:themeColor="text1"/>
                <w:kern w:val="0"/>
                <w:sz w:val="20"/>
                <w:szCs w:val="20"/>
              </w:rPr>
              <w:t>股）</w:t>
            </w:r>
          </w:p>
        </w:tc>
      </w:tr>
      <w:tr w:rsidR="003B6511" w:rsidRPr="008104E6" w:rsidTr="008104E6">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lastRenderedPageBreak/>
              <w:t>监事长</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杨林</w:t>
            </w:r>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1968.7</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本科</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德清农商银行村镇银行管理部业务管理科科员</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8104E6" w:rsidTr="008104E6">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100"/>
              <w:jc w:val="center"/>
              <w:rPr>
                <w:rFonts w:ascii="宋体" w:hAnsi="宋体"/>
                <w:color w:val="000000" w:themeColor="text1"/>
                <w:sz w:val="20"/>
                <w:szCs w:val="20"/>
              </w:rPr>
            </w:pPr>
            <w:r w:rsidRPr="00495683">
              <w:rPr>
                <w:rFonts w:ascii="宋体" w:hAnsi="宋体" w:hint="eastAsia"/>
                <w:color w:val="000000" w:themeColor="text1"/>
                <w:sz w:val="20"/>
                <w:szCs w:val="20"/>
              </w:rPr>
              <w:t>监事</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陈于农</w:t>
            </w:r>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1977.9</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海宁市海纳家纺有限公司总经理</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2100</w:t>
            </w:r>
          </w:p>
        </w:tc>
      </w:tr>
      <w:tr w:rsidR="003B6511" w:rsidRPr="008104E6" w:rsidTr="008104E6">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100"/>
              <w:jc w:val="center"/>
              <w:rPr>
                <w:rFonts w:ascii="宋体" w:hAnsi="宋体"/>
                <w:color w:val="000000" w:themeColor="text1"/>
                <w:sz w:val="20"/>
                <w:szCs w:val="20"/>
              </w:rPr>
            </w:pPr>
            <w:r w:rsidRPr="00495683">
              <w:rPr>
                <w:rFonts w:ascii="宋体" w:hAnsi="宋体" w:hint="eastAsia"/>
                <w:color w:val="000000" w:themeColor="text1"/>
                <w:sz w:val="20"/>
                <w:szCs w:val="20"/>
              </w:rPr>
              <w:t>监事</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proofErr w:type="gramStart"/>
            <w:r w:rsidRPr="00495683">
              <w:rPr>
                <w:rFonts w:ascii="宋体" w:hAnsi="宋体" w:hint="eastAsia"/>
                <w:color w:val="000000" w:themeColor="text1"/>
                <w:sz w:val="20"/>
                <w:szCs w:val="20"/>
              </w:rPr>
              <w:t>虞林荣</w:t>
            </w:r>
            <w:proofErr w:type="gramEnd"/>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1967.3</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kern w:val="0"/>
                <w:sz w:val="18"/>
                <w:szCs w:val="18"/>
              </w:rPr>
            </w:pPr>
            <w:r w:rsidRPr="00495683">
              <w:rPr>
                <w:rFonts w:ascii="宋体" w:hAnsi="宋体" w:hint="eastAsia"/>
                <w:color w:val="000000" w:themeColor="text1"/>
                <w:kern w:val="0"/>
                <w:sz w:val="18"/>
                <w:szCs w:val="18"/>
              </w:rPr>
              <w:t>海宁</w:t>
            </w:r>
            <w:proofErr w:type="gramStart"/>
            <w:r w:rsidRPr="00495683">
              <w:rPr>
                <w:rFonts w:ascii="宋体" w:hAnsi="宋体" w:hint="eastAsia"/>
                <w:color w:val="000000" w:themeColor="text1"/>
                <w:kern w:val="0"/>
                <w:sz w:val="18"/>
                <w:szCs w:val="18"/>
              </w:rPr>
              <w:t>缔亿经</w:t>
            </w:r>
            <w:proofErr w:type="gramEnd"/>
            <w:r w:rsidRPr="00495683">
              <w:rPr>
                <w:rFonts w:ascii="宋体" w:hAnsi="宋体" w:hint="eastAsia"/>
                <w:color w:val="000000" w:themeColor="text1"/>
                <w:kern w:val="0"/>
                <w:sz w:val="18"/>
                <w:szCs w:val="18"/>
              </w:rPr>
              <w:t>编有限公司董事长</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450</w:t>
            </w:r>
          </w:p>
        </w:tc>
      </w:tr>
    </w:tbl>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（三）高级管理人员</w:t>
      </w:r>
    </w:p>
    <w:tbl>
      <w:tblPr>
        <w:tblW w:w="5093" w:type="pct"/>
        <w:tblCellSpacing w:w="0"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85"/>
        <w:gridCol w:w="788"/>
        <w:gridCol w:w="490"/>
        <w:gridCol w:w="788"/>
        <w:gridCol w:w="589"/>
        <w:gridCol w:w="4420"/>
        <w:gridCol w:w="1079"/>
      </w:tblGrid>
      <w:tr w:rsidR="003B6511" w:rsidRPr="00495683" w:rsidTr="00B528D0">
        <w:trPr>
          <w:trHeight w:val="93"/>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职务</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姓名</w:t>
            </w:r>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性别</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出生年月</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学历</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责任分工</w:t>
            </w:r>
          </w:p>
        </w:tc>
        <w:tc>
          <w:tcPr>
            <w:tcW w:w="597" w:type="pct"/>
            <w:tcBorders>
              <w:top w:val="outset" w:sz="6" w:space="0" w:color="auto"/>
              <w:left w:val="outset" w:sz="6" w:space="0" w:color="auto"/>
              <w:bottom w:val="outset" w:sz="6" w:space="0" w:color="auto"/>
              <w:right w:val="outset" w:sz="6" w:space="0" w:color="auto"/>
            </w:tcBorders>
            <w:vAlign w:val="center"/>
          </w:tcPr>
          <w:p w:rsidR="0071194D" w:rsidRDefault="008104E6" w:rsidP="00333C4F">
            <w:pPr>
              <w:widowControl/>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派出机构</w:t>
            </w:r>
            <w:r w:rsidR="003B6511" w:rsidRPr="00495683">
              <w:rPr>
                <w:rFonts w:ascii="ˎ̥" w:hAnsi="ˎ̥" w:cs="Tahoma" w:hint="eastAsia"/>
                <w:color w:val="000000" w:themeColor="text1"/>
                <w:kern w:val="0"/>
                <w:sz w:val="18"/>
                <w:szCs w:val="18"/>
              </w:rPr>
              <w:t>持有股份</w:t>
            </w:r>
          </w:p>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w:t>
            </w:r>
            <w:r w:rsidR="008104E6">
              <w:rPr>
                <w:rFonts w:ascii="ˎ̥" w:hAnsi="ˎ̥" w:cs="Tahoma" w:hint="eastAsia"/>
                <w:color w:val="000000" w:themeColor="text1"/>
                <w:kern w:val="0"/>
                <w:sz w:val="18"/>
                <w:szCs w:val="18"/>
              </w:rPr>
              <w:t>万</w:t>
            </w:r>
            <w:r w:rsidRPr="00495683">
              <w:rPr>
                <w:rFonts w:ascii="ˎ̥" w:hAnsi="ˎ̥" w:cs="Tahoma" w:hint="eastAsia"/>
                <w:color w:val="000000" w:themeColor="text1"/>
                <w:kern w:val="0"/>
                <w:sz w:val="18"/>
                <w:szCs w:val="18"/>
              </w:rPr>
              <w:t>股）</w:t>
            </w:r>
          </w:p>
        </w:tc>
      </w:tr>
      <w:tr w:rsidR="003B6511" w:rsidRPr="00495683" w:rsidTr="00B528D0">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行长</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B62B22" w:rsidP="00333C4F">
            <w:pPr>
              <w:jc w:val="center"/>
              <w:rPr>
                <w:rFonts w:ascii="宋体" w:hAnsi="宋体"/>
                <w:color w:val="000000" w:themeColor="text1"/>
                <w:sz w:val="18"/>
                <w:szCs w:val="18"/>
              </w:rPr>
            </w:pPr>
            <w:r>
              <w:rPr>
                <w:rFonts w:ascii="宋体" w:hAnsi="宋体" w:hint="eastAsia"/>
                <w:color w:val="000000" w:themeColor="text1"/>
                <w:sz w:val="18"/>
                <w:szCs w:val="18"/>
              </w:rPr>
              <w:t>方国锋</w:t>
            </w:r>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w:t>
            </w:r>
            <w:r w:rsidR="00B62B22">
              <w:rPr>
                <w:rFonts w:ascii="ˎ̥" w:hAnsi="ˎ̥" w:cs="Tahoma" w:hint="eastAsia"/>
                <w:color w:val="000000" w:themeColor="text1"/>
                <w:kern w:val="0"/>
                <w:sz w:val="18"/>
                <w:szCs w:val="18"/>
              </w:rPr>
              <w:t>73.6</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1578FB"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主持经营管理层工作</w:t>
            </w:r>
          </w:p>
        </w:tc>
        <w:tc>
          <w:tcPr>
            <w:tcW w:w="597"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8750</w:t>
            </w:r>
          </w:p>
        </w:tc>
      </w:tr>
      <w:tr w:rsidR="003B6511" w:rsidRPr="00495683" w:rsidTr="00B528D0">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副行长</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何成松</w:t>
            </w:r>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1968.8</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4071E5"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全面负责风险合</w:t>
            </w:r>
            <w:proofErr w:type="gramStart"/>
            <w:r>
              <w:rPr>
                <w:rFonts w:ascii="ˎ̥" w:hAnsi="ˎ̥" w:cs="Tahoma" w:hint="eastAsia"/>
                <w:color w:val="000000" w:themeColor="text1"/>
                <w:kern w:val="0"/>
                <w:sz w:val="18"/>
                <w:szCs w:val="18"/>
              </w:rPr>
              <w:t>规</w:t>
            </w:r>
            <w:proofErr w:type="gramEnd"/>
            <w:r>
              <w:rPr>
                <w:rFonts w:ascii="ˎ̥" w:hAnsi="ˎ̥" w:cs="Tahoma" w:hint="eastAsia"/>
                <w:color w:val="000000" w:themeColor="text1"/>
                <w:kern w:val="0"/>
                <w:sz w:val="18"/>
                <w:szCs w:val="18"/>
              </w:rPr>
              <w:t>工作</w:t>
            </w:r>
          </w:p>
        </w:tc>
        <w:tc>
          <w:tcPr>
            <w:tcW w:w="597"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8750</w:t>
            </w:r>
          </w:p>
        </w:tc>
      </w:tr>
      <w:tr w:rsidR="003B6511" w:rsidRPr="00495683" w:rsidTr="00B528D0">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A469EF" w:rsidP="00333C4F">
            <w:pPr>
              <w:ind w:firstLineChars="50" w:firstLine="90"/>
              <w:jc w:val="center"/>
              <w:rPr>
                <w:rFonts w:ascii="宋体" w:hAnsi="宋体"/>
                <w:color w:val="000000" w:themeColor="text1"/>
                <w:sz w:val="18"/>
                <w:szCs w:val="18"/>
              </w:rPr>
            </w:pPr>
            <w:r>
              <w:rPr>
                <w:rFonts w:ascii="宋体" w:hAnsi="宋体" w:hint="eastAsia"/>
                <w:color w:val="000000" w:themeColor="text1"/>
                <w:sz w:val="18"/>
                <w:szCs w:val="18"/>
              </w:rPr>
              <w:t>行长助理</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A469EF" w:rsidP="00333C4F">
            <w:pPr>
              <w:jc w:val="center"/>
              <w:rPr>
                <w:rFonts w:ascii="宋体" w:hAnsi="宋体"/>
                <w:color w:val="000000" w:themeColor="text1"/>
                <w:sz w:val="18"/>
                <w:szCs w:val="18"/>
              </w:rPr>
            </w:pPr>
            <w:proofErr w:type="gramStart"/>
            <w:r>
              <w:rPr>
                <w:rFonts w:ascii="宋体" w:hAnsi="宋体" w:hint="eastAsia"/>
                <w:color w:val="000000" w:themeColor="text1"/>
                <w:sz w:val="18"/>
                <w:szCs w:val="18"/>
              </w:rPr>
              <w:t>吴云鸣</w:t>
            </w:r>
            <w:proofErr w:type="gramEnd"/>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A469E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w:t>
            </w:r>
            <w:r w:rsidR="00A469EF">
              <w:rPr>
                <w:rFonts w:ascii="ˎ̥" w:hAnsi="ˎ̥" w:cs="Tahoma" w:hint="eastAsia"/>
                <w:color w:val="000000" w:themeColor="text1"/>
                <w:kern w:val="0"/>
                <w:sz w:val="18"/>
                <w:szCs w:val="18"/>
              </w:rPr>
              <w:t>81.3</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A469EF"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协助行长</w:t>
            </w:r>
            <w:r>
              <w:rPr>
                <w:rFonts w:ascii="ˎ̥" w:hAnsi="ˎ̥" w:cs="Tahoma" w:hint="eastAsia"/>
                <w:color w:val="000000" w:themeColor="text1"/>
                <w:kern w:val="0"/>
                <w:sz w:val="18"/>
                <w:szCs w:val="18"/>
              </w:rPr>
              <w:t>分管业务发展、普惠金融等工作</w:t>
            </w:r>
          </w:p>
        </w:tc>
        <w:tc>
          <w:tcPr>
            <w:tcW w:w="597" w:type="pct"/>
            <w:tcBorders>
              <w:top w:val="outset" w:sz="6" w:space="0" w:color="auto"/>
              <w:left w:val="outset" w:sz="6" w:space="0" w:color="auto"/>
              <w:bottom w:val="outset" w:sz="6" w:space="0" w:color="auto"/>
              <w:right w:val="outset" w:sz="6" w:space="0" w:color="auto"/>
            </w:tcBorders>
            <w:vAlign w:val="center"/>
          </w:tcPr>
          <w:p w:rsidR="003B6511" w:rsidRPr="00495683" w:rsidRDefault="002504B2"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w:t>
            </w:r>
          </w:p>
        </w:tc>
      </w:tr>
    </w:tbl>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二、报告期内</w:t>
      </w:r>
      <w:r w:rsidRPr="00170C89">
        <w:rPr>
          <w:rFonts w:ascii="黑体" w:eastAsia="黑体" w:hint="eastAsia"/>
          <w:color w:val="000000" w:themeColor="text1"/>
          <w:sz w:val="32"/>
          <w:szCs w:val="32"/>
        </w:rPr>
        <w:t>董事、监事、高级管理人员变动情况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报告期内</w:t>
      </w:r>
      <w:r w:rsidR="00FD5C47" w:rsidRPr="00170C89">
        <w:rPr>
          <w:rFonts w:ascii="仿宋_GB2312" w:eastAsia="仿宋_GB2312" w:hAnsi="ˎ̥" w:cs="Tahoma" w:hint="eastAsia"/>
          <w:color w:val="000000" w:themeColor="text1"/>
          <w:kern w:val="0"/>
          <w:sz w:val="32"/>
          <w:szCs w:val="32"/>
        </w:rPr>
        <w:t>，经换届选举及董事增补后，本行董事构成发生变化，由谢学民、赵继川、何成松、黄根夫、姚建华变更为谢学民、方国锋、何成松、黄根夫、姚建华；监事人员未发生变化；高级管理</w:t>
      </w:r>
      <w:r w:rsidR="002E14BD">
        <w:rPr>
          <w:rFonts w:ascii="仿宋_GB2312" w:eastAsia="仿宋_GB2312" w:hAnsi="ˎ̥" w:cs="Tahoma" w:hint="eastAsia"/>
          <w:color w:val="000000" w:themeColor="text1"/>
          <w:kern w:val="0"/>
          <w:sz w:val="32"/>
          <w:szCs w:val="32"/>
        </w:rPr>
        <w:t>层</w:t>
      </w:r>
      <w:r w:rsidR="00FD5C47" w:rsidRPr="00170C89">
        <w:rPr>
          <w:rFonts w:ascii="仿宋_GB2312" w:eastAsia="仿宋_GB2312" w:hAnsi="ˎ̥" w:cs="Tahoma" w:hint="eastAsia"/>
          <w:color w:val="000000" w:themeColor="text1"/>
          <w:kern w:val="0"/>
          <w:sz w:val="32"/>
          <w:szCs w:val="32"/>
        </w:rPr>
        <w:t>构成发生变化，由行长赵继川、副行长何成松、行长助理吴云鸣变更为行长方国锋、副行长何成松、</w:t>
      </w:r>
      <w:r w:rsidR="00190645">
        <w:rPr>
          <w:rFonts w:ascii="仿宋_GB2312" w:eastAsia="仿宋_GB2312" w:hAnsi="ˎ̥" w:cs="Tahoma" w:hint="eastAsia"/>
          <w:color w:val="000000" w:themeColor="text1"/>
          <w:kern w:val="0"/>
          <w:sz w:val="32"/>
          <w:szCs w:val="32"/>
        </w:rPr>
        <w:t>行长助理吴云鸣</w:t>
      </w:r>
      <w:r w:rsidR="00FD5C47" w:rsidRPr="00170C89">
        <w:rPr>
          <w:rFonts w:ascii="仿宋_GB2312" w:eastAsia="仿宋_GB2312" w:hAnsi="ˎ̥" w:cs="Tahoma" w:hint="eastAsia"/>
          <w:color w:val="000000" w:themeColor="text1"/>
          <w:kern w:val="0"/>
          <w:sz w:val="32"/>
          <w:szCs w:val="32"/>
        </w:rPr>
        <w:t>。</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三、报告期内高管人员薪酬情况</w:t>
      </w:r>
    </w:p>
    <w:p w:rsidR="003B6511" w:rsidRPr="00170C89" w:rsidRDefault="003B6511" w:rsidP="00170C89">
      <w:pPr>
        <w:spacing w:line="560" w:lineRule="exact"/>
        <w:ind w:firstLineChars="200" w:firstLine="640"/>
        <w:rPr>
          <w:rFonts w:ascii="仿宋_GB2312" w:eastAsia="仿宋_GB2312" w:hAnsi="ˎ̥" w:cs="Tahoma" w:hint="eastAsia"/>
          <w:kern w:val="0"/>
          <w:sz w:val="32"/>
          <w:szCs w:val="32"/>
        </w:rPr>
      </w:pPr>
      <w:r w:rsidRPr="00170C89">
        <w:rPr>
          <w:rFonts w:ascii="仿宋_GB2312" w:eastAsia="仿宋_GB2312" w:hAnsi="ˎ̥" w:cs="Tahoma" w:hint="eastAsia"/>
          <w:color w:val="000000" w:themeColor="text1"/>
          <w:kern w:val="0"/>
          <w:sz w:val="32"/>
          <w:szCs w:val="32"/>
        </w:rPr>
        <w:t>报告期内本行高管人员（董事长、监事</w:t>
      </w:r>
      <w:r w:rsidR="00FD5C47" w:rsidRPr="00170C89">
        <w:rPr>
          <w:rFonts w:ascii="仿宋_GB2312" w:eastAsia="仿宋_GB2312" w:hAnsi="ˎ̥" w:cs="Tahoma" w:hint="eastAsia"/>
          <w:color w:val="000000" w:themeColor="text1"/>
          <w:kern w:val="0"/>
          <w:sz w:val="32"/>
          <w:szCs w:val="32"/>
        </w:rPr>
        <w:t>会主席</w:t>
      </w:r>
      <w:r w:rsidRPr="00170C89">
        <w:rPr>
          <w:rFonts w:ascii="仿宋_GB2312" w:eastAsia="仿宋_GB2312" w:hAnsi="ˎ̥" w:cs="Tahoma" w:hint="eastAsia"/>
          <w:color w:val="000000" w:themeColor="text1"/>
          <w:kern w:val="0"/>
          <w:sz w:val="32"/>
          <w:szCs w:val="32"/>
        </w:rPr>
        <w:t>）共有5人，其中董事长谢学民和监事</w:t>
      </w:r>
      <w:r w:rsidR="00FD5C47" w:rsidRPr="00170C89">
        <w:rPr>
          <w:rFonts w:ascii="仿宋_GB2312" w:eastAsia="仿宋_GB2312" w:hAnsi="ˎ̥" w:cs="Tahoma" w:hint="eastAsia"/>
          <w:color w:val="000000" w:themeColor="text1"/>
          <w:kern w:val="0"/>
          <w:sz w:val="32"/>
          <w:szCs w:val="32"/>
        </w:rPr>
        <w:t>会主席</w:t>
      </w:r>
      <w:r w:rsidRPr="00170C89">
        <w:rPr>
          <w:rFonts w:ascii="仿宋_GB2312" w:eastAsia="仿宋_GB2312" w:hAnsi="ˎ̥" w:cs="Tahoma" w:hint="eastAsia"/>
          <w:color w:val="000000" w:themeColor="text1"/>
          <w:kern w:val="0"/>
          <w:sz w:val="32"/>
          <w:szCs w:val="32"/>
        </w:rPr>
        <w:t>杨林为主发起行德清农商银行派驻，薪酬由德清农商银行发放，</w:t>
      </w:r>
      <w:r w:rsidRPr="00170C89">
        <w:rPr>
          <w:rFonts w:ascii="仿宋_GB2312" w:eastAsia="仿宋_GB2312" w:hAnsi="ˎ̥" w:cs="Tahoma" w:hint="eastAsia"/>
          <w:kern w:val="0"/>
          <w:sz w:val="32"/>
          <w:szCs w:val="32"/>
        </w:rPr>
        <w:t>其余3人报告期内实际薪酬总额（税后）</w:t>
      </w:r>
      <w:r w:rsidR="00501079" w:rsidRPr="00170C89">
        <w:rPr>
          <w:rFonts w:ascii="仿宋_GB2312" w:eastAsia="仿宋_GB2312" w:hAnsi="ˎ̥" w:cs="Tahoma" w:hint="eastAsia"/>
          <w:kern w:val="0"/>
          <w:sz w:val="32"/>
          <w:szCs w:val="32"/>
        </w:rPr>
        <w:t>69.99</w:t>
      </w:r>
      <w:r w:rsidRPr="00170C89">
        <w:rPr>
          <w:rFonts w:ascii="仿宋_GB2312" w:eastAsia="仿宋_GB2312" w:hAnsi="ˎ̥" w:cs="Tahoma" w:hint="eastAsia"/>
          <w:kern w:val="0"/>
          <w:sz w:val="32"/>
          <w:szCs w:val="32"/>
        </w:rPr>
        <w:t>万元。</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四、员工情况</w:t>
      </w:r>
    </w:p>
    <w:p w:rsidR="009B5308"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proofErr w:type="gramStart"/>
      <w:r w:rsidRPr="00170C89">
        <w:rPr>
          <w:rFonts w:ascii="仿宋_GB2312" w:eastAsia="仿宋_GB2312" w:hAnsi="ˎ̥" w:cs="Tahoma" w:hint="eastAsia"/>
          <w:color w:val="000000" w:themeColor="text1"/>
          <w:kern w:val="0"/>
          <w:sz w:val="32"/>
          <w:szCs w:val="32"/>
        </w:rPr>
        <w:t>至报告</w:t>
      </w:r>
      <w:proofErr w:type="gramEnd"/>
      <w:r w:rsidRPr="00170C89">
        <w:rPr>
          <w:rFonts w:ascii="仿宋_GB2312" w:eastAsia="仿宋_GB2312" w:hAnsi="ˎ̥" w:cs="Tahoma" w:hint="eastAsia"/>
          <w:color w:val="000000" w:themeColor="text1"/>
          <w:kern w:val="0"/>
          <w:sz w:val="32"/>
          <w:szCs w:val="32"/>
        </w:rPr>
        <w:t>期末，</w:t>
      </w:r>
      <w:r w:rsidRPr="00170C89">
        <w:rPr>
          <w:rFonts w:ascii="仿宋_GB2312" w:eastAsia="仿宋_GB2312" w:hAnsi="ˎ̥" w:cs="Tahoma"/>
          <w:color w:val="000000" w:themeColor="text1"/>
          <w:kern w:val="0"/>
          <w:sz w:val="32"/>
          <w:szCs w:val="32"/>
        </w:rPr>
        <w:t>本行在岗员工</w:t>
      </w:r>
      <w:r w:rsidR="002D5A83" w:rsidRPr="00170C89">
        <w:rPr>
          <w:rFonts w:ascii="仿宋_GB2312" w:eastAsia="仿宋_GB2312" w:hAnsi="ˎ̥" w:cs="Tahoma" w:hint="eastAsia"/>
          <w:color w:val="000000" w:themeColor="text1"/>
          <w:kern w:val="0"/>
          <w:sz w:val="32"/>
          <w:szCs w:val="32"/>
        </w:rPr>
        <w:t>88</w:t>
      </w:r>
      <w:r w:rsidRPr="00170C89">
        <w:rPr>
          <w:rFonts w:ascii="仿宋_GB2312" w:eastAsia="仿宋_GB2312" w:hAnsi="ˎ̥" w:cs="Tahoma"/>
          <w:color w:val="000000" w:themeColor="text1"/>
          <w:kern w:val="0"/>
          <w:sz w:val="32"/>
          <w:szCs w:val="32"/>
        </w:rPr>
        <w:t>人。其中：中层以上管理人员</w:t>
      </w:r>
      <w:r w:rsidR="002D5A83" w:rsidRPr="00170C89">
        <w:rPr>
          <w:rFonts w:ascii="仿宋_GB2312" w:eastAsia="仿宋_GB2312" w:hAnsi="ˎ̥" w:cs="Tahoma" w:hint="eastAsia"/>
          <w:color w:val="000000" w:themeColor="text1"/>
          <w:kern w:val="0"/>
          <w:sz w:val="32"/>
          <w:szCs w:val="32"/>
        </w:rPr>
        <w:t>15</w:t>
      </w:r>
      <w:r w:rsidRPr="00170C89">
        <w:rPr>
          <w:rFonts w:ascii="仿宋_GB2312" w:eastAsia="仿宋_GB2312" w:hAnsi="ˎ̥" w:cs="Tahoma"/>
          <w:color w:val="000000" w:themeColor="text1"/>
          <w:kern w:val="0"/>
          <w:sz w:val="32"/>
          <w:szCs w:val="32"/>
        </w:rPr>
        <w:t>人，占在岗员工的</w:t>
      </w:r>
      <w:r w:rsidR="002D5A83" w:rsidRPr="00170C89">
        <w:rPr>
          <w:rFonts w:ascii="仿宋_GB2312" w:eastAsia="仿宋_GB2312" w:hAnsi="ˎ̥" w:cs="Tahoma" w:hint="eastAsia"/>
          <w:color w:val="000000" w:themeColor="text1"/>
          <w:kern w:val="0"/>
          <w:sz w:val="32"/>
          <w:szCs w:val="32"/>
        </w:rPr>
        <w:t>17.05</w:t>
      </w:r>
      <w:r w:rsidRPr="00170C89">
        <w:rPr>
          <w:rFonts w:ascii="仿宋_GB2312" w:eastAsia="仿宋_GB2312" w:hAnsi="ˎ̥" w:cs="Tahoma"/>
          <w:color w:val="000000" w:themeColor="text1"/>
          <w:kern w:val="0"/>
          <w:sz w:val="32"/>
          <w:szCs w:val="32"/>
        </w:rPr>
        <w:t>%；大学及以上学历</w:t>
      </w:r>
      <w:r w:rsidR="00A24EC5" w:rsidRPr="00170C89">
        <w:rPr>
          <w:rFonts w:ascii="仿宋_GB2312" w:eastAsia="仿宋_GB2312" w:hAnsi="ˎ̥" w:cs="Tahoma" w:hint="eastAsia"/>
          <w:color w:val="000000" w:themeColor="text1"/>
          <w:kern w:val="0"/>
          <w:sz w:val="32"/>
          <w:szCs w:val="32"/>
        </w:rPr>
        <w:t>79</w:t>
      </w:r>
      <w:r w:rsidRPr="00170C89">
        <w:rPr>
          <w:rFonts w:ascii="仿宋_GB2312" w:eastAsia="仿宋_GB2312" w:hAnsi="ˎ̥" w:cs="Tahoma"/>
          <w:color w:val="000000" w:themeColor="text1"/>
          <w:kern w:val="0"/>
          <w:sz w:val="32"/>
          <w:szCs w:val="32"/>
        </w:rPr>
        <w:t>人，占在岗员工的</w:t>
      </w:r>
      <w:r w:rsidR="00A24EC5" w:rsidRPr="00170C89">
        <w:rPr>
          <w:rFonts w:ascii="仿宋_GB2312" w:eastAsia="仿宋_GB2312" w:hAnsi="ˎ̥" w:cs="Tahoma" w:hint="eastAsia"/>
          <w:color w:val="000000" w:themeColor="text1"/>
          <w:kern w:val="0"/>
          <w:sz w:val="32"/>
          <w:szCs w:val="32"/>
        </w:rPr>
        <w:t>89.72</w:t>
      </w:r>
      <w:r w:rsidRPr="00170C89">
        <w:rPr>
          <w:rFonts w:ascii="仿宋_GB2312" w:eastAsia="仿宋_GB2312" w:hAnsi="ˎ̥" w:cs="Tahoma"/>
          <w:color w:val="000000" w:themeColor="text1"/>
          <w:kern w:val="0"/>
          <w:sz w:val="32"/>
          <w:szCs w:val="32"/>
        </w:rPr>
        <w:t>%；大专学历</w:t>
      </w:r>
      <w:r w:rsidR="00A24EC5" w:rsidRPr="00170C89">
        <w:rPr>
          <w:rFonts w:ascii="仿宋_GB2312" w:eastAsia="仿宋_GB2312" w:hAnsi="ˎ̥" w:cs="Tahoma" w:hint="eastAsia"/>
          <w:color w:val="000000" w:themeColor="text1"/>
          <w:kern w:val="0"/>
          <w:sz w:val="32"/>
          <w:szCs w:val="32"/>
        </w:rPr>
        <w:t>9</w:t>
      </w:r>
      <w:r w:rsidRPr="00170C89">
        <w:rPr>
          <w:rFonts w:ascii="仿宋_GB2312" w:eastAsia="仿宋_GB2312" w:hAnsi="ˎ̥" w:cs="Tahoma"/>
          <w:color w:val="000000" w:themeColor="text1"/>
          <w:kern w:val="0"/>
          <w:sz w:val="32"/>
          <w:szCs w:val="32"/>
        </w:rPr>
        <w:t>人，占在岗员工的</w:t>
      </w:r>
      <w:r w:rsidR="00A24EC5" w:rsidRPr="00170C89">
        <w:rPr>
          <w:rFonts w:ascii="仿宋_GB2312" w:eastAsia="仿宋_GB2312" w:hAnsi="ˎ̥" w:cs="Tahoma" w:hint="eastAsia"/>
          <w:color w:val="000000" w:themeColor="text1"/>
          <w:kern w:val="0"/>
          <w:sz w:val="32"/>
          <w:szCs w:val="32"/>
        </w:rPr>
        <w:t>10.22</w:t>
      </w:r>
      <w:r w:rsidRPr="00170C89">
        <w:rPr>
          <w:rFonts w:ascii="仿宋_GB2312" w:eastAsia="仿宋_GB2312" w:hAnsi="ˎ̥" w:cs="Tahoma"/>
          <w:color w:val="000000" w:themeColor="text1"/>
          <w:kern w:val="0"/>
          <w:sz w:val="32"/>
          <w:szCs w:val="32"/>
        </w:rPr>
        <w:t>%；中专及以下学历</w:t>
      </w:r>
      <w:r w:rsidRPr="00170C89">
        <w:rPr>
          <w:rFonts w:ascii="仿宋_GB2312" w:eastAsia="仿宋_GB2312" w:hAnsi="ˎ̥" w:cs="Tahoma" w:hint="eastAsia"/>
          <w:color w:val="000000" w:themeColor="text1"/>
          <w:kern w:val="0"/>
          <w:sz w:val="32"/>
          <w:szCs w:val="32"/>
        </w:rPr>
        <w:t>0</w:t>
      </w:r>
      <w:r w:rsidRPr="00170C89">
        <w:rPr>
          <w:rFonts w:ascii="仿宋_GB2312" w:eastAsia="仿宋_GB2312" w:hAnsi="ˎ̥" w:cs="Tahoma"/>
          <w:color w:val="000000" w:themeColor="text1"/>
          <w:kern w:val="0"/>
          <w:sz w:val="32"/>
          <w:szCs w:val="32"/>
        </w:rPr>
        <w:t>人。</w:t>
      </w:r>
    </w:p>
    <w:p w:rsidR="000913DA" w:rsidRDefault="000913DA" w:rsidP="003B6511">
      <w:pPr>
        <w:spacing w:line="560" w:lineRule="exact"/>
        <w:jc w:val="center"/>
        <w:rPr>
          <w:rFonts w:ascii="黑体" w:eastAsia="黑体" w:hAnsi="ˎ̥" w:cs="Tahoma" w:hint="eastAsia"/>
          <w:color w:val="000000" w:themeColor="text1"/>
          <w:kern w:val="0"/>
          <w:sz w:val="32"/>
          <w:szCs w:val="32"/>
        </w:rPr>
      </w:pPr>
    </w:p>
    <w:p w:rsidR="003B6511" w:rsidRPr="00170C89" w:rsidRDefault="003B6511" w:rsidP="003B6511">
      <w:pPr>
        <w:spacing w:line="560" w:lineRule="exact"/>
        <w:jc w:val="center"/>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第七章　公司治理</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报告期内，本行严格按照《中华人民共和国银行业监督管理法》、《村镇银行管理暂行规定》以及本行章程的规定，进一步完善法人治理结构，按照人民银行、银行业监管部门以及行业管理部门的有关要求开展业务经营，充分发挥各个利益相关者特别是董、监事的作用，确保合</w:t>
      </w:r>
      <w:proofErr w:type="gramStart"/>
      <w:r w:rsidRPr="00170C89">
        <w:rPr>
          <w:rFonts w:ascii="仿宋_GB2312" w:eastAsia="仿宋_GB2312" w:hAnsi="ˎ̥" w:cs="Tahoma" w:hint="eastAsia"/>
          <w:color w:val="000000" w:themeColor="text1"/>
          <w:kern w:val="0"/>
          <w:sz w:val="32"/>
          <w:szCs w:val="32"/>
        </w:rPr>
        <w:t>规</w:t>
      </w:r>
      <w:proofErr w:type="gramEnd"/>
      <w:r w:rsidRPr="00170C89">
        <w:rPr>
          <w:rFonts w:ascii="仿宋_GB2312" w:eastAsia="仿宋_GB2312" w:hAnsi="ˎ̥" w:cs="Tahoma" w:hint="eastAsia"/>
          <w:color w:val="000000" w:themeColor="text1"/>
          <w:kern w:val="0"/>
          <w:sz w:val="32"/>
          <w:szCs w:val="32"/>
        </w:rPr>
        <w:t>稳健经营和快速发展，有效保障了相关权益人的利益，为股东赢得回报，为社会创造价值。</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一、股东代表大会</w:t>
      </w:r>
    </w:p>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（一）股</w:t>
      </w:r>
      <w:r w:rsidR="00686C39">
        <w:rPr>
          <w:rFonts w:ascii="楷体_GB2312" w:eastAsia="楷体_GB2312" w:hAnsi="ˎ̥" w:cs="Tahoma" w:hint="eastAsia"/>
          <w:b/>
          <w:color w:val="000000" w:themeColor="text1"/>
          <w:kern w:val="0"/>
          <w:sz w:val="32"/>
          <w:szCs w:val="32"/>
        </w:rPr>
        <w:t>东</w:t>
      </w:r>
      <w:r w:rsidRPr="00170C89">
        <w:rPr>
          <w:rFonts w:ascii="楷体_GB2312" w:eastAsia="楷体_GB2312" w:hAnsi="ˎ̥" w:cs="Tahoma" w:hint="eastAsia"/>
          <w:b/>
          <w:color w:val="000000" w:themeColor="text1"/>
          <w:kern w:val="0"/>
          <w:sz w:val="32"/>
          <w:szCs w:val="32"/>
        </w:rPr>
        <w:t>基本情况</w:t>
      </w:r>
    </w:p>
    <w:p w:rsidR="003B6511" w:rsidRPr="00170C89" w:rsidRDefault="003B6511" w:rsidP="00170C89">
      <w:pPr>
        <w:spacing w:line="560" w:lineRule="exact"/>
        <w:ind w:firstLineChars="200" w:firstLine="640"/>
        <w:rPr>
          <w:rFonts w:ascii="仿宋_GB2312" w:eastAsia="仿宋_GB2312" w:hAnsi="宋体" w:cs="宋体"/>
          <w:color w:val="000000" w:themeColor="text1"/>
          <w:sz w:val="32"/>
          <w:szCs w:val="32"/>
        </w:rPr>
      </w:pPr>
      <w:proofErr w:type="gramStart"/>
      <w:r w:rsidRPr="00170C89">
        <w:rPr>
          <w:rFonts w:ascii="仿宋_GB2312" w:eastAsia="仿宋_GB2312" w:hAnsi="ˎ̥" w:cs="Tahoma" w:hint="eastAsia"/>
          <w:color w:val="000000" w:themeColor="text1"/>
          <w:kern w:val="0"/>
          <w:sz w:val="32"/>
          <w:szCs w:val="32"/>
        </w:rPr>
        <w:t>至报告</w:t>
      </w:r>
      <w:proofErr w:type="gramEnd"/>
      <w:r w:rsidRPr="00170C89">
        <w:rPr>
          <w:rFonts w:ascii="仿宋_GB2312" w:eastAsia="仿宋_GB2312" w:hAnsi="ˎ̥" w:cs="Tahoma" w:hint="eastAsia"/>
          <w:color w:val="000000" w:themeColor="text1"/>
          <w:kern w:val="0"/>
          <w:sz w:val="32"/>
          <w:szCs w:val="32"/>
        </w:rPr>
        <w:t>期末，本行股东共有10</w:t>
      </w:r>
      <w:r w:rsidR="00F80600" w:rsidRPr="00170C89">
        <w:rPr>
          <w:rFonts w:ascii="仿宋_GB2312" w:eastAsia="仿宋_GB2312" w:hAnsi="ˎ̥" w:cs="Tahoma" w:hint="eastAsia"/>
          <w:color w:val="000000" w:themeColor="text1"/>
          <w:kern w:val="0"/>
          <w:sz w:val="32"/>
          <w:szCs w:val="32"/>
        </w:rPr>
        <w:t>人，其中：</w:t>
      </w:r>
      <w:r w:rsidRPr="00170C89">
        <w:rPr>
          <w:rFonts w:ascii="仿宋_GB2312" w:eastAsia="仿宋_GB2312" w:hAnsi="ˎ̥" w:cs="Tahoma" w:hint="eastAsia"/>
          <w:color w:val="000000" w:themeColor="text1"/>
          <w:kern w:val="0"/>
          <w:sz w:val="32"/>
          <w:szCs w:val="32"/>
        </w:rPr>
        <w:t>法人股东10人，占100%。</w:t>
      </w:r>
      <w:r w:rsidRPr="00170C89">
        <w:rPr>
          <w:rFonts w:ascii="仿宋_GB2312" w:eastAsia="仿宋_GB2312" w:hAnsi="宋体" w:cs="宋体" w:hint="eastAsia"/>
          <w:color w:val="000000" w:themeColor="text1"/>
          <w:sz w:val="32"/>
          <w:szCs w:val="32"/>
        </w:rPr>
        <w:t>本行较为合理的股权结构和运行规范，确保了所有股东享有平等地位并能够充分行使权利。</w:t>
      </w:r>
    </w:p>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（二）召开股东大会情况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报告期间，本行共召开了股东大会</w:t>
      </w:r>
      <w:r w:rsidR="002D5A83" w:rsidRPr="00170C89">
        <w:rPr>
          <w:rFonts w:ascii="仿宋_GB2312" w:eastAsia="仿宋_GB2312" w:hAnsi="ˎ̥" w:cs="Tahoma" w:hint="eastAsia"/>
          <w:color w:val="000000" w:themeColor="text1"/>
          <w:kern w:val="0"/>
          <w:sz w:val="32"/>
          <w:szCs w:val="32"/>
        </w:rPr>
        <w:t>1</w:t>
      </w:r>
      <w:r w:rsidRPr="00170C89">
        <w:rPr>
          <w:rFonts w:ascii="仿宋_GB2312" w:eastAsia="仿宋_GB2312" w:hAnsi="ˎ̥" w:cs="Tahoma" w:hint="eastAsia"/>
          <w:color w:val="000000" w:themeColor="text1"/>
          <w:kern w:val="0"/>
          <w:sz w:val="32"/>
          <w:szCs w:val="32"/>
        </w:rPr>
        <w:t>次，审议内容涉及董事会年度报告、监事会年度报告、年度财务预决算方案等方面，共表决通过了</w:t>
      </w:r>
      <w:r w:rsidR="002D5A83" w:rsidRPr="00170C89">
        <w:rPr>
          <w:rFonts w:ascii="仿宋_GB2312" w:eastAsia="仿宋_GB2312" w:hAnsi="ˎ̥" w:cs="Tahoma" w:hint="eastAsia"/>
          <w:color w:val="000000" w:themeColor="text1"/>
          <w:kern w:val="0"/>
          <w:sz w:val="32"/>
          <w:szCs w:val="32"/>
        </w:rPr>
        <w:t>9</w:t>
      </w:r>
      <w:r w:rsidRPr="00170C89">
        <w:rPr>
          <w:rFonts w:ascii="仿宋_GB2312" w:eastAsia="仿宋_GB2312" w:hAnsi="ˎ̥" w:cs="Tahoma" w:hint="eastAsia"/>
          <w:color w:val="000000" w:themeColor="text1"/>
          <w:kern w:val="0"/>
          <w:sz w:val="32"/>
          <w:szCs w:val="32"/>
        </w:rPr>
        <w:t>项决议。</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二、董事会</w:t>
      </w:r>
    </w:p>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（一）董事会基本情况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报告期末，本行董事会由5名董事组成，其中：法人董事</w:t>
      </w:r>
      <w:r w:rsidR="00A752A4" w:rsidRPr="00170C89">
        <w:rPr>
          <w:rFonts w:ascii="仿宋_GB2312" w:eastAsia="仿宋_GB2312" w:hAnsi="ˎ̥" w:cs="Tahoma" w:hint="eastAsia"/>
          <w:color w:val="000000" w:themeColor="text1"/>
          <w:kern w:val="0"/>
          <w:sz w:val="32"/>
          <w:szCs w:val="32"/>
        </w:rPr>
        <w:t>2</w:t>
      </w:r>
      <w:r w:rsidRPr="00170C89">
        <w:rPr>
          <w:rFonts w:ascii="仿宋_GB2312" w:eastAsia="仿宋_GB2312" w:hAnsi="ˎ̥" w:cs="Tahoma" w:hint="eastAsia"/>
          <w:color w:val="000000" w:themeColor="text1"/>
          <w:kern w:val="0"/>
          <w:sz w:val="32"/>
          <w:szCs w:val="32"/>
        </w:rPr>
        <w:t>名，员工董事</w:t>
      </w:r>
      <w:r w:rsidR="00A752A4" w:rsidRPr="00170C89">
        <w:rPr>
          <w:rFonts w:ascii="仿宋_GB2312" w:eastAsia="仿宋_GB2312" w:hAnsi="ˎ̥" w:cs="Tahoma" w:hint="eastAsia"/>
          <w:color w:val="000000" w:themeColor="text1"/>
          <w:kern w:val="0"/>
          <w:sz w:val="32"/>
          <w:szCs w:val="32"/>
        </w:rPr>
        <w:t>3</w:t>
      </w:r>
      <w:r w:rsidRPr="00170C89">
        <w:rPr>
          <w:rFonts w:ascii="仿宋_GB2312" w:eastAsia="仿宋_GB2312" w:hAnsi="ˎ̥" w:cs="Tahoma" w:hint="eastAsia"/>
          <w:color w:val="000000" w:themeColor="text1"/>
          <w:kern w:val="0"/>
          <w:sz w:val="32"/>
          <w:szCs w:val="32"/>
        </w:rPr>
        <w:t>名。</w:t>
      </w:r>
    </w:p>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（二）董事会工作情况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lastRenderedPageBreak/>
        <w:t>报告期内，本行共召开</w:t>
      </w:r>
      <w:r w:rsidR="00477136" w:rsidRPr="00170C89">
        <w:rPr>
          <w:rFonts w:ascii="仿宋_GB2312" w:eastAsia="仿宋_GB2312" w:hAnsi="ˎ̥" w:cs="Tahoma" w:hint="eastAsia"/>
          <w:color w:val="000000" w:themeColor="text1"/>
          <w:kern w:val="0"/>
          <w:sz w:val="32"/>
          <w:szCs w:val="32"/>
        </w:rPr>
        <w:t>3</w:t>
      </w:r>
      <w:r w:rsidRPr="00170C89">
        <w:rPr>
          <w:rFonts w:ascii="仿宋_GB2312" w:eastAsia="仿宋_GB2312" w:hAnsi="ˎ̥" w:cs="Tahoma" w:hint="eastAsia"/>
          <w:color w:val="000000" w:themeColor="text1"/>
          <w:kern w:val="0"/>
          <w:sz w:val="32"/>
          <w:szCs w:val="32"/>
        </w:rPr>
        <w:t>次董事会例行会议，审议内容涉及</w:t>
      </w:r>
      <w:r w:rsidR="00905C00" w:rsidRPr="00170C89">
        <w:rPr>
          <w:rFonts w:ascii="仿宋_GB2312" w:eastAsia="仿宋_GB2312" w:hAnsi="ˎ̥" w:cs="Tahoma" w:hint="eastAsia"/>
          <w:color w:val="000000" w:themeColor="text1"/>
          <w:kern w:val="0"/>
          <w:sz w:val="32"/>
          <w:szCs w:val="32"/>
        </w:rPr>
        <w:t>年度机构规划</w:t>
      </w:r>
      <w:r w:rsidRPr="00170C89">
        <w:rPr>
          <w:rFonts w:ascii="仿宋_GB2312" w:eastAsia="仿宋_GB2312" w:hAnsi="ˎ̥" w:cs="Tahoma" w:hint="eastAsia"/>
          <w:color w:val="000000" w:themeColor="text1"/>
          <w:kern w:val="0"/>
          <w:sz w:val="32"/>
          <w:szCs w:val="32"/>
        </w:rPr>
        <w:t>、年度财务预决算方案等方面，共表决通过了</w:t>
      </w:r>
      <w:r w:rsidR="00477136" w:rsidRPr="00170C89">
        <w:rPr>
          <w:rFonts w:ascii="仿宋_GB2312" w:eastAsia="仿宋_GB2312" w:hAnsi="ˎ̥" w:cs="Tahoma" w:hint="eastAsia"/>
          <w:color w:val="000000" w:themeColor="text1"/>
          <w:kern w:val="0"/>
          <w:sz w:val="32"/>
          <w:szCs w:val="32"/>
        </w:rPr>
        <w:t>18</w:t>
      </w:r>
      <w:r w:rsidRPr="00170C89">
        <w:rPr>
          <w:rFonts w:ascii="仿宋_GB2312" w:eastAsia="仿宋_GB2312" w:hAnsi="ˎ̥" w:cs="Tahoma" w:hint="eastAsia"/>
          <w:color w:val="000000" w:themeColor="text1"/>
          <w:kern w:val="0"/>
          <w:sz w:val="32"/>
          <w:szCs w:val="32"/>
        </w:rPr>
        <w:t>项决议。</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三、监事会</w:t>
      </w:r>
    </w:p>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（一）监事会基本情况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报告期末，本行监事会由3名监事组成，其中：法人监事</w:t>
      </w:r>
      <w:r w:rsidR="00A752A4" w:rsidRPr="00170C89">
        <w:rPr>
          <w:rFonts w:ascii="仿宋_GB2312" w:eastAsia="仿宋_GB2312" w:hAnsi="ˎ̥" w:cs="Tahoma" w:hint="eastAsia"/>
          <w:color w:val="000000" w:themeColor="text1"/>
          <w:kern w:val="0"/>
          <w:sz w:val="32"/>
          <w:szCs w:val="32"/>
        </w:rPr>
        <w:t>2</w:t>
      </w:r>
      <w:r w:rsidRPr="00170C89">
        <w:rPr>
          <w:rFonts w:ascii="仿宋_GB2312" w:eastAsia="仿宋_GB2312" w:hAnsi="ˎ̥" w:cs="Tahoma" w:hint="eastAsia"/>
          <w:color w:val="000000" w:themeColor="text1"/>
          <w:kern w:val="0"/>
          <w:sz w:val="32"/>
          <w:szCs w:val="32"/>
        </w:rPr>
        <w:t>名，员工监事1名。</w:t>
      </w:r>
    </w:p>
    <w:p w:rsidR="003B6511" w:rsidRPr="00170C89" w:rsidRDefault="003B6511" w:rsidP="00170C89">
      <w:pPr>
        <w:spacing w:line="560" w:lineRule="exact"/>
        <w:ind w:firstLineChars="200" w:firstLine="643"/>
        <w:rPr>
          <w:rFonts w:ascii="楷体_GB2312" w:eastAsia="楷体_GB2312" w:hAnsi="ˎ̥" w:cs="Tahoma" w:hint="eastAsia"/>
          <w:b/>
          <w:color w:val="000000" w:themeColor="text1"/>
          <w:kern w:val="0"/>
          <w:sz w:val="32"/>
          <w:szCs w:val="32"/>
        </w:rPr>
      </w:pPr>
      <w:r w:rsidRPr="00170C89">
        <w:rPr>
          <w:rFonts w:ascii="楷体_GB2312" w:eastAsia="楷体_GB2312" w:hAnsi="ˎ̥" w:cs="Tahoma" w:hint="eastAsia"/>
          <w:b/>
          <w:color w:val="000000" w:themeColor="text1"/>
          <w:kern w:val="0"/>
          <w:sz w:val="32"/>
          <w:szCs w:val="32"/>
        </w:rPr>
        <w:t>（二）监事会工作情况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报告期内，本行共召开</w:t>
      </w:r>
      <w:r w:rsidR="00477136" w:rsidRPr="00170C89">
        <w:rPr>
          <w:rFonts w:ascii="仿宋_GB2312" w:eastAsia="仿宋_GB2312" w:hAnsi="ˎ̥" w:cs="Tahoma" w:hint="eastAsia"/>
          <w:color w:val="000000" w:themeColor="text1"/>
          <w:kern w:val="0"/>
          <w:sz w:val="32"/>
          <w:szCs w:val="32"/>
        </w:rPr>
        <w:t>3</w:t>
      </w:r>
      <w:r w:rsidRPr="00170C89">
        <w:rPr>
          <w:rFonts w:ascii="仿宋_GB2312" w:eastAsia="仿宋_GB2312" w:hAnsi="ˎ̥" w:cs="Tahoma" w:hint="eastAsia"/>
          <w:color w:val="000000" w:themeColor="text1"/>
          <w:kern w:val="0"/>
          <w:sz w:val="32"/>
          <w:szCs w:val="32"/>
        </w:rPr>
        <w:t>次监事会会议，监事会紧紧围绕股东大会确定的工作思路和工作重点，认真履行《章程》赋予监事会的各项工作职责，积极参与对本行重大事项及业务经营活动的监督与管理，在加强自身建设的同时，对本行的董事会及高级管理</w:t>
      </w:r>
      <w:proofErr w:type="gramStart"/>
      <w:r w:rsidRPr="00170C89">
        <w:rPr>
          <w:rFonts w:ascii="仿宋_GB2312" w:eastAsia="仿宋_GB2312" w:hAnsi="ˎ̥" w:cs="Tahoma" w:hint="eastAsia"/>
          <w:color w:val="000000" w:themeColor="text1"/>
          <w:kern w:val="0"/>
          <w:sz w:val="32"/>
          <w:szCs w:val="32"/>
        </w:rPr>
        <w:t>层履行</w:t>
      </w:r>
      <w:proofErr w:type="gramEnd"/>
      <w:r w:rsidRPr="00170C89">
        <w:rPr>
          <w:rFonts w:ascii="仿宋_GB2312" w:eastAsia="仿宋_GB2312" w:hAnsi="ˎ̥" w:cs="Tahoma" w:hint="eastAsia"/>
          <w:color w:val="000000" w:themeColor="text1"/>
          <w:kern w:val="0"/>
          <w:sz w:val="32"/>
          <w:szCs w:val="32"/>
        </w:rPr>
        <w:t>职责情况、财务预决算、内控制度制定情况和执行情况等方面进行了有效监督。</w:t>
      </w:r>
    </w:p>
    <w:p w:rsidR="003B6511" w:rsidRPr="00170C89" w:rsidRDefault="003B6511" w:rsidP="00170C89">
      <w:pPr>
        <w:spacing w:line="560" w:lineRule="exact"/>
        <w:ind w:firstLineChars="200" w:firstLine="640"/>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四、经营管理层成员及其工作情况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报告期末，本行经营管理层由3名高级管理人员组成，其中行长1名，副行长</w:t>
      </w:r>
      <w:r w:rsidR="00190645">
        <w:rPr>
          <w:rFonts w:ascii="仿宋_GB2312" w:eastAsia="仿宋_GB2312" w:hAnsi="ˎ̥" w:cs="Tahoma" w:hint="eastAsia"/>
          <w:color w:val="000000" w:themeColor="text1"/>
          <w:kern w:val="0"/>
          <w:sz w:val="32"/>
          <w:szCs w:val="32"/>
        </w:rPr>
        <w:t>1</w:t>
      </w:r>
      <w:r w:rsidRPr="00170C89">
        <w:rPr>
          <w:rFonts w:ascii="仿宋_GB2312" w:eastAsia="仿宋_GB2312" w:hAnsi="ˎ̥" w:cs="Tahoma" w:hint="eastAsia"/>
          <w:color w:val="000000" w:themeColor="text1"/>
          <w:kern w:val="0"/>
          <w:sz w:val="32"/>
          <w:szCs w:val="32"/>
        </w:rPr>
        <w:t>名</w:t>
      </w:r>
      <w:r w:rsidR="00190645">
        <w:rPr>
          <w:rFonts w:ascii="仿宋_GB2312" w:eastAsia="仿宋_GB2312" w:hAnsi="ˎ̥" w:cs="Tahoma" w:hint="eastAsia"/>
          <w:color w:val="000000" w:themeColor="text1"/>
          <w:kern w:val="0"/>
          <w:sz w:val="32"/>
          <w:szCs w:val="32"/>
        </w:rPr>
        <w:t>，行长助理1名</w:t>
      </w:r>
      <w:r w:rsidRPr="00170C89">
        <w:rPr>
          <w:rFonts w:ascii="仿宋_GB2312" w:eastAsia="仿宋_GB2312" w:hAnsi="ˎ̥" w:cs="Tahoma" w:hint="eastAsia"/>
          <w:color w:val="000000" w:themeColor="text1"/>
          <w:kern w:val="0"/>
          <w:sz w:val="32"/>
          <w:szCs w:val="32"/>
        </w:rPr>
        <w:t>。报告期内经营管理层分工明确，能够遵守勤勉、诚信原则，忠实履行本行章程规定的职责、执行董事会的各项决议。</w:t>
      </w:r>
    </w:p>
    <w:p w:rsidR="004E3B38" w:rsidRPr="00170C89" w:rsidRDefault="004E3B38" w:rsidP="00170C89">
      <w:pPr>
        <w:spacing w:line="560" w:lineRule="exact"/>
        <w:ind w:firstLineChars="200" w:firstLine="640"/>
        <w:rPr>
          <w:rFonts w:ascii="仿宋_GB2312" w:eastAsia="仿宋_GB2312" w:hAnsi="ˎ̥" w:cs="Tahoma" w:hint="eastAsia"/>
          <w:color w:val="000000" w:themeColor="text1"/>
          <w:kern w:val="0"/>
          <w:sz w:val="32"/>
          <w:szCs w:val="32"/>
        </w:rPr>
      </w:pPr>
    </w:p>
    <w:p w:rsidR="003B6511" w:rsidRPr="00170C89" w:rsidRDefault="003B6511" w:rsidP="003B6511">
      <w:pPr>
        <w:spacing w:line="560" w:lineRule="exact"/>
        <w:jc w:val="center"/>
        <w:rPr>
          <w:rFonts w:ascii="黑体" w:eastAsia="黑体" w:hAnsi="ˎ̥" w:cs="Tahoma" w:hint="eastAsia"/>
          <w:color w:val="000000" w:themeColor="text1"/>
          <w:kern w:val="0"/>
          <w:sz w:val="32"/>
          <w:szCs w:val="32"/>
        </w:rPr>
      </w:pPr>
      <w:r w:rsidRPr="00170C89">
        <w:rPr>
          <w:rFonts w:ascii="黑体" w:eastAsia="黑体" w:hAnsi="ˎ̥" w:cs="Tahoma" w:hint="eastAsia"/>
          <w:color w:val="000000" w:themeColor="text1"/>
          <w:kern w:val="0"/>
          <w:sz w:val="32"/>
          <w:szCs w:val="32"/>
        </w:rPr>
        <w:t>第八章　重大事项</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一、重要诉讼、仲裁事项和重大案件情况</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lastRenderedPageBreak/>
        <w:t>报告期内，本行没有对经营产生重大影响的诉讼、仲裁事项，未发生重大经济案件。</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二、报告期内，本行无收购、合并及出售重大资产事项。</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三、报告期内，本行关联交易正当公平，没有损害股东和本行利益。</w:t>
      </w:r>
    </w:p>
    <w:p w:rsidR="003B6511"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四、报告期内，本行董事会及董事、监事会及监事、高级管理人员无受监管部门处罚情况发生。</w:t>
      </w:r>
    </w:p>
    <w:p w:rsidR="009B5308" w:rsidRPr="00170C89" w:rsidRDefault="003B6511" w:rsidP="00170C89">
      <w:pPr>
        <w:spacing w:line="560" w:lineRule="exact"/>
        <w:ind w:firstLineChars="200" w:firstLine="640"/>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五、报告期内，本行名称没有变更。</w:t>
      </w:r>
    </w:p>
    <w:p w:rsidR="009A4D54" w:rsidRPr="00170C89" w:rsidRDefault="009A4D54" w:rsidP="00170C89">
      <w:pPr>
        <w:spacing w:line="560" w:lineRule="exact"/>
        <w:ind w:firstLineChars="200" w:firstLine="640"/>
        <w:rPr>
          <w:rFonts w:ascii="仿宋_GB2312" w:eastAsia="仿宋_GB2312" w:hAnsi="ˎ̥" w:cs="Tahoma" w:hint="eastAsia"/>
          <w:color w:val="000000" w:themeColor="text1"/>
          <w:kern w:val="0"/>
          <w:sz w:val="32"/>
          <w:szCs w:val="32"/>
        </w:rPr>
      </w:pPr>
    </w:p>
    <w:p w:rsidR="00A46D10" w:rsidRPr="00170C89" w:rsidRDefault="003B6511" w:rsidP="00170C89">
      <w:pPr>
        <w:spacing w:line="560" w:lineRule="exact"/>
        <w:ind w:firstLineChars="200" w:firstLine="640"/>
        <w:jc w:val="right"/>
        <w:rPr>
          <w:rFonts w:ascii="仿宋_GB2312" w:eastAsia="仿宋_GB2312" w:hAnsi="ˎ̥" w:cs="Tahoma" w:hint="eastAsia"/>
          <w:color w:val="000000" w:themeColor="text1"/>
          <w:kern w:val="0"/>
          <w:sz w:val="32"/>
          <w:szCs w:val="32"/>
        </w:rPr>
      </w:pPr>
      <w:r w:rsidRPr="00170C89">
        <w:rPr>
          <w:rFonts w:ascii="仿宋_GB2312" w:eastAsia="仿宋_GB2312" w:hAnsi="ˎ̥" w:cs="Tahoma" w:hint="eastAsia"/>
          <w:color w:val="000000" w:themeColor="text1"/>
          <w:kern w:val="0"/>
          <w:sz w:val="32"/>
          <w:szCs w:val="32"/>
        </w:rPr>
        <w:t>二○一</w:t>
      </w:r>
      <w:r w:rsidR="00477136" w:rsidRPr="00170C89">
        <w:rPr>
          <w:rFonts w:ascii="仿宋_GB2312" w:eastAsia="仿宋_GB2312" w:hAnsi="ˎ̥" w:cs="Tahoma" w:hint="eastAsia"/>
          <w:color w:val="000000" w:themeColor="text1"/>
          <w:kern w:val="0"/>
          <w:sz w:val="32"/>
          <w:szCs w:val="32"/>
        </w:rPr>
        <w:t>九</w:t>
      </w:r>
      <w:r w:rsidRPr="00170C89">
        <w:rPr>
          <w:rFonts w:ascii="仿宋_GB2312" w:eastAsia="仿宋_GB2312" w:hAnsi="ˎ̥" w:cs="Tahoma" w:hint="eastAsia"/>
          <w:color w:val="000000" w:themeColor="text1"/>
          <w:kern w:val="0"/>
          <w:sz w:val="32"/>
          <w:szCs w:val="32"/>
        </w:rPr>
        <w:t>年</w:t>
      </w:r>
      <w:r w:rsidR="00190645">
        <w:rPr>
          <w:rFonts w:ascii="仿宋_GB2312" w:eastAsia="仿宋_GB2312" w:hAnsi="ˎ̥" w:cs="Tahoma" w:hint="eastAsia"/>
          <w:color w:val="000000" w:themeColor="text1"/>
          <w:kern w:val="0"/>
          <w:sz w:val="32"/>
          <w:szCs w:val="32"/>
        </w:rPr>
        <w:t>五</w:t>
      </w:r>
      <w:r w:rsidR="00477136" w:rsidRPr="00170C89">
        <w:rPr>
          <w:rFonts w:ascii="仿宋_GB2312" w:eastAsia="仿宋_GB2312" w:hAnsi="ˎ̥" w:cs="Tahoma" w:hint="eastAsia"/>
          <w:color w:val="000000" w:themeColor="text1"/>
          <w:kern w:val="0"/>
          <w:sz w:val="32"/>
          <w:szCs w:val="32"/>
        </w:rPr>
        <w:t>月</w:t>
      </w:r>
      <w:r w:rsidR="00190645">
        <w:rPr>
          <w:rFonts w:ascii="仿宋_GB2312" w:eastAsia="仿宋_GB2312" w:hAnsi="ˎ̥" w:cs="Tahoma" w:hint="eastAsia"/>
          <w:color w:val="000000" w:themeColor="text1"/>
          <w:kern w:val="0"/>
          <w:sz w:val="32"/>
          <w:szCs w:val="32"/>
        </w:rPr>
        <w:t>九</w:t>
      </w:r>
      <w:r w:rsidRPr="00170C89">
        <w:rPr>
          <w:rFonts w:ascii="仿宋_GB2312" w:eastAsia="仿宋_GB2312" w:hAnsi="ˎ̥" w:cs="Tahoma" w:hint="eastAsia"/>
          <w:color w:val="000000" w:themeColor="text1"/>
          <w:kern w:val="0"/>
          <w:sz w:val="32"/>
          <w:szCs w:val="32"/>
        </w:rPr>
        <w:t>日</w:t>
      </w:r>
    </w:p>
    <w:sectPr w:rsidR="00A46D10" w:rsidRPr="00170C89" w:rsidSect="00B528D0">
      <w:headerReference w:type="even" r:id="rId8"/>
      <w:headerReference w:type="default" r:id="rId9"/>
      <w:footerReference w:type="even" r:id="rId10"/>
      <w:footerReference w:type="default" r:id="rId11"/>
      <w:pgSz w:w="11906" w:h="16838" w:code="9"/>
      <w:pgMar w:top="2098" w:right="1474" w:bottom="1985" w:left="1588" w:header="851" w:footer="992"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66" w:rsidRDefault="002E3166" w:rsidP="003B6511">
      <w:r>
        <w:separator/>
      </w:r>
    </w:p>
  </w:endnote>
  <w:endnote w:type="continuationSeparator" w:id="0">
    <w:p w:rsidR="002E3166" w:rsidRDefault="002E3166" w:rsidP="003B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29" w:rsidRDefault="000E5E67" w:rsidP="00B528D0">
    <w:pPr>
      <w:pStyle w:val="a4"/>
      <w:framePr w:wrap="around" w:vAnchor="text" w:hAnchor="margin" w:xAlign="center" w:y="1"/>
      <w:rPr>
        <w:rStyle w:val="a5"/>
      </w:rPr>
    </w:pPr>
    <w:r>
      <w:rPr>
        <w:rStyle w:val="a5"/>
      </w:rPr>
      <w:fldChar w:fldCharType="begin"/>
    </w:r>
    <w:r w:rsidR="00F62329">
      <w:rPr>
        <w:rStyle w:val="a5"/>
      </w:rPr>
      <w:instrText xml:space="preserve">PAGE  </w:instrText>
    </w:r>
    <w:r>
      <w:rPr>
        <w:rStyle w:val="a5"/>
      </w:rPr>
      <w:fldChar w:fldCharType="separate"/>
    </w:r>
    <w:r w:rsidR="00F62329">
      <w:rPr>
        <w:rStyle w:val="a5"/>
        <w:noProof/>
      </w:rPr>
      <w:t>12</w:t>
    </w:r>
    <w:r>
      <w:rPr>
        <w:rStyle w:val="a5"/>
      </w:rPr>
      <w:fldChar w:fldCharType="end"/>
    </w:r>
  </w:p>
  <w:p w:rsidR="00F62329" w:rsidRDefault="00F623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860"/>
      <w:docPartObj>
        <w:docPartGallery w:val="Page Numbers (Bottom of Page)"/>
        <w:docPartUnique/>
      </w:docPartObj>
    </w:sdtPr>
    <w:sdtEndPr/>
    <w:sdtContent>
      <w:sdt>
        <w:sdtPr>
          <w:id w:val="98381352"/>
          <w:docPartObj>
            <w:docPartGallery w:val="Page Numbers (Top of Page)"/>
            <w:docPartUnique/>
          </w:docPartObj>
        </w:sdtPr>
        <w:sdtEndPr/>
        <w:sdtContent>
          <w:p w:rsidR="00D61DD6" w:rsidRDefault="00D61DD6" w:rsidP="00D61DD6">
            <w:pPr>
              <w:pStyle w:val="a4"/>
              <w:jc w:val="right"/>
            </w:pPr>
            <w:r>
              <w:rPr>
                <w:lang w:val="zh-CN"/>
              </w:rPr>
              <w:t xml:space="preserve"> </w:t>
            </w:r>
            <w:r w:rsidR="000E5E67">
              <w:rPr>
                <w:b/>
                <w:sz w:val="24"/>
                <w:szCs w:val="24"/>
              </w:rPr>
              <w:fldChar w:fldCharType="begin"/>
            </w:r>
            <w:r>
              <w:rPr>
                <w:b/>
              </w:rPr>
              <w:instrText>PAGE</w:instrText>
            </w:r>
            <w:r w:rsidR="000E5E67">
              <w:rPr>
                <w:b/>
                <w:sz w:val="24"/>
                <w:szCs w:val="24"/>
              </w:rPr>
              <w:fldChar w:fldCharType="separate"/>
            </w:r>
            <w:r w:rsidR="00331E27">
              <w:rPr>
                <w:b/>
                <w:noProof/>
              </w:rPr>
              <w:t>12</w:t>
            </w:r>
            <w:r w:rsidR="000E5E67">
              <w:rPr>
                <w:b/>
                <w:sz w:val="24"/>
                <w:szCs w:val="24"/>
              </w:rPr>
              <w:fldChar w:fldCharType="end"/>
            </w:r>
            <w:r>
              <w:rPr>
                <w:lang w:val="zh-CN"/>
              </w:rPr>
              <w:t xml:space="preserve"> </w:t>
            </w:r>
            <w:r>
              <w:rPr>
                <w:lang w:val="zh-CN"/>
              </w:rPr>
              <w:t xml:space="preserve">/ </w:t>
            </w:r>
            <w:r w:rsidR="000E5E67">
              <w:rPr>
                <w:b/>
                <w:sz w:val="24"/>
                <w:szCs w:val="24"/>
              </w:rPr>
              <w:fldChar w:fldCharType="begin"/>
            </w:r>
            <w:r>
              <w:rPr>
                <w:b/>
              </w:rPr>
              <w:instrText>NUMPAGES</w:instrText>
            </w:r>
            <w:r w:rsidR="000E5E67">
              <w:rPr>
                <w:b/>
                <w:sz w:val="24"/>
                <w:szCs w:val="24"/>
              </w:rPr>
              <w:fldChar w:fldCharType="separate"/>
            </w:r>
            <w:r w:rsidR="00331E27">
              <w:rPr>
                <w:b/>
                <w:noProof/>
              </w:rPr>
              <w:t>12</w:t>
            </w:r>
            <w:r w:rsidR="000E5E67">
              <w:rPr>
                <w:b/>
                <w:sz w:val="24"/>
                <w:szCs w:val="24"/>
              </w:rPr>
              <w:fldChar w:fldCharType="end"/>
            </w:r>
          </w:p>
        </w:sdtContent>
      </w:sdt>
    </w:sdtContent>
  </w:sdt>
  <w:p w:rsidR="00D61DD6" w:rsidRDefault="00D61D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66" w:rsidRDefault="002E3166" w:rsidP="003B6511">
      <w:r>
        <w:separator/>
      </w:r>
    </w:p>
  </w:footnote>
  <w:footnote w:type="continuationSeparator" w:id="0">
    <w:p w:rsidR="002E3166" w:rsidRDefault="002E3166" w:rsidP="003B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29" w:rsidRDefault="00F62329" w:rsidP="00DB4478">
    <w:pPr>
      <w:pStyle w:val="a3"/>
      <w:pBdr>
        <w:bottom w:val="none" w:sz="0" w:space="0" w:color="auto"/>
      </w:pBdr>
      <w:spacing w:line="140" w:lineRule="exact"/>
      <w:ind w:right="195" w:firstLineChars="150" w:firstLine="27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29" w:rsidRDefault="00F62329" w:rsidP="00B528D0">
    <w:pPr>
      <w:pStyle w:val="a3"/>
      <w:pBdr>
        <w:bottom w:val="none" w:sz="0" w:space="0" w:color="auto"/>
      </w:pBdr>
      <w:spacing w:line="140" w:lineRule="exact"/>
      <w:ind w:right="195" w:firstLineChars="150" w:firstLine="27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87"/>
  <w:displayHorizontalDrawingGridEvery w:val="0"/>
  <w:characterSpacingControl w:val="compressPunctuation"/>
  <w:hdrShapeDefaults>
    <o:shapedefaults v:ext="edit" spidmax="213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6511"/>
    <w:rsid w:val="00017D30"/>
    <w:rsid w:val="000346C6"/>
    <w:rsid w:val="00056C77"/>
    <w:rsid w:val="000913DA"/>
    <w:rsid w:val="000A783F"/>
    <w:rsid w:val="000B01ED"/>
    <w:rsid w:val="000B777C"/>
    <w:rsid w:val="000E5E67"/>
    <w:rsid w:val="001129BC"/>
    <w:rsid w:val="001279DC"/>
    <w:rsid w:val="00127D76"/>
    <w:rsid w:val="001510F3"/>
    <w:rsid w:val="001578FB"/>
    <w:rsid w:val="00170C89"/>
    <w:rsid w:val="00190645"/>
    <w:rsid w:val="001E5141"/>
    <w:rsid w:val="00205735"/>
    <w:rsid w:val="00236234"/>
    <w:rsid w:val="00236737"/>
    <w:rsid w:val="002504B2"/>
    <w:rsid w:val="002D5A83"/>
    <w:rsid w:val="002E14BD"/>
    <w:rsid w:val="002E3166"/>
    <w:rsid w:val="0031045B"/>
    <w:rsid w:val="00324192"/>
    <w:rsid w:val="00331E27"/>
    <w:rsid w:val="00333C4F"/>
    <w:rsid w:val="003A58E2"/>
    <w:rsid w:val="003B6511"/>
    <w:rsid w:val="00400553"/>
    <w:rsid w:val="004071E5"/>
    <w:rsid w:val="00440AD6"/>
    <w:rsid w:val="00455865"/>
    <w:rsid w:val="00477136"/>
    <w:rsid w:val="004D1838"/>
    <w:rsid w:val="004E3B38"/>
    <w:rsid w:val="004F14C6"/>
    <w:rsid w:val="00501079"/>
    <w:rsid w:val="00587519"/>
    <w:rsid w:val="00597E93"/>
    <w:rsid w:val="00607601"/>
    <w:rsid w:val="00610B07"/>
    <w:rsid w:val="00630E2F"/>
    <w:rsid w:val="006448E3"/>
    <w:rsid w:val="006560FC"/>
    <w:rsid w:val="00686C39"/>
    <w:rsid w:val="00691910"/>
    <w:rsid w:val="006C10C9"/>
    <w:rsid w:val="006D695C"/>
    <w:rsid w:val="006E569C"/>
    <w:rsid w:val="0071194D"/>
    <w:rsid w:val="00720710"/>
    <w:rsid w:val="00735F25"/>
    <w:rsid w:val="00740E9B"/>
    <w:rsid w:val="0074370E"/>
    <w:rsid w:val="00743CE4"/>
    <w:rsid w:val="007853F0"/>
    <w:rsid w:val="00787007"/>
    <w:rsid w:val="00797B95"/>
    <w:rsid w:val="007B5A1C"/>
    <w:rsid w:val="007C5399"/>
    <w:rsid w:val="008104E6"/>
    <w:rsid w:val="008340D3"/>
    <w:rsid w:val="00850DC9"/>
    <w:rsid w:val="00851BF4"/>
    <w:rsid w:val="00857163"/>
    <w:rsid w:val="008A5A41"/>
    <w:rsid w:val="00905C00"/>
    <w:rsid w:val="00936850"/>
    <w:rsid w:val="00965D38"/>
    <w:rsid w:val="009713AE"/>
    <w:rsid w:val="00990500"/>
    <w:rsid w:val="009A4D54"/>
    <w:rsid w:val="009B5308"/>
    <w:rsid w:val="009E7B38"/>
    <w:rsid w:val="00A066DD"/>
    <w:rsid w:val="00A139DB"/>
    <w:rsid w:val="00A24EC5"/>
    <w:rsid w:val="00A32838"/>
    <w:rsid w:val="00A469EF"/>
    <w:rsid w:val="00A46D10"/>
    <w:rsid w:val="00A752A4"/>
    <w:rsid w:val="00A805E1"/>
    <w:rsid w:val="00AD2730"/>
    <w:rsid w:val="00AF0715"/>
    <w:rsid w:val="00B01844"/>
    <w:rsid w:val="00B20BB0"/>
    <w:rsid w:val="00B47369"/>
    <w:rsid w:val="00B528D0"/>
    <w:rsid w:val="00B62B22"/>
    <w:rsid w:val="00B9492B"/>
    <w:rsid w:val="00C07601"/>
    <w:rsid w:val="00C14695"/>
    <w:rsid w:val="00C46FA5"/>
    <w:rsid w:val="00CA03C6"/>
    <w:rsid w:val="00CA06F6"/>
    <w:rsid w:val="00CB226F"/>
    <w:rsid w:val="00CB418E"/>
    <w:rsid w:val="00D0000B"/>
    <w:rsid w:val="00D011C2"/>
    <w:rsid w:val="00D07FB9"/>
    <w:rsid w:val="00D2300E"/>
    <w:rsid w:val="00D42853"/>
    <w:rsid w:val="00D51447"/>
    <w:rsid w:val="00D61DD6"/>
    <w:rsid w:val="00DB07C3"/>
    <w:rsid w:val="00DB4478"/>
    <w:rsid w:val="00DB654C"/>
    <w:rsid w:val="00DE60A9"/>
    <w:rsid w:val="00E15FB9"/>
    <w:rsid w:val="00E3503A"/>
    <w:rsid w:val="00E47CA7"/>
    <w:rsid w:val="00E52719"/>
    <w:rsid w:val="00E55BFF"/>
    <w:rsid w:val="00E73C91"/>
    <w:rsid w:val="00E7704F"/>
    <w:rsid w:val="00E847C0"/>
    <w:rsid w:val="00E96CB7"/>
    <w:rsid w:val="00EA0A94"/>
    <w:rsid w:val="00EA12DC"/>
    <w:rsid w:val="00EA3205"/>
    <w:rsid w:val="00EF08EB"/>
    <w:rsid w:val="00EF2C02"/>
    <w:rsid w:val="00F02DC3"/>
    <w:rsid w:val="00F13ADA"/>
    <w:rsid w:val="00F149BC"/>
    <w:rsid w:val="00F62329"/>
    <w:rsid w:val="00F80600"/>
    <w:rsid w:val="00F80BE0"/>
    <w:rsid w:val="00FD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39"/>
    <o:shapelayout v:ext="edit">
      <o:idmap v:ext="edit" data="2"/>
      <o:rules v:ext="edit">
        <o:r id="V:Rule24" type="connector" idref="#_x0000_s2117"/>
        <o:r id="V:Rule25" type="connector" idref="#_x0000_s2119"/>
        <o:r id="V:Rule26" type="connector" idref="#_x0000_s2131"/>
        <o:r id="V:Rule27" type="connector" idref="#_x0000_s2121"/>
        <o:r id="V:Rule28" type="connector" idref="#_x0000_s2135"/>
        <o:r id="V:Rule29" type="connector" idref="#_x0000_s2120"/>
        <o:r id="V:Rule30" type="connector" idref="#_x0000_s2136"/>
        <o:r id="V:Rule31" type="connector" idref="#_x0000_s2114"/>
        <o:r id="V:Rule32" type="connector" idref="#_x0000_s2122"/>
        <o:r id="V:Rule33" type="connector" idref="#_x0000_s2126"/>
        <o:r id="V:Rule34" type="connector" idref="#_x0000_s2134"/>
        <o:r id="V:Rule35" type="connector" idref="#_x0000_s2128"/>
        <o:r id="V:Rule36" type="connector" idref="#_x0000_s2127"/>
        <o:r id="V:Rule37" type="connector" idref="#_x0000_s2133"/>
        <o:r id="V:Rule38" type="connector" idref="#_x0000_s2130"/>
        <o:r id="V:Rule39" type="connector" idref="#_x0000_s2125"/>
        <o:r id="V:Rule40" type="connector" idref="#_x0000_s2132"/>
        <o:r id="V:Rule41" type="connector" idref="#_x0000_s2124"/>
        <o:r id="V:Rule42" type="connector" idref="#_x0000_s2123"/>
        <o:r id="V:Rule43" type="connector" idref="#_x0000_s2129"/>
        <o:r id="V:Rule44" type="connector" idref="#_x0000_s2137"/>
        <o:r id="V:Rule45" type="connector" idref="#_x0000_s2116"/>
        <o:r id="V:Rule46" type="connector" idref="#_x0000_s21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E2"/>
    <w:pPr>
      <w:widowControl w:val="0"/>
      <w:jc w:val="both"/>
    </w:pPr>
  </w:style>
  <w:style w:type="paragraph" w:styleId="1">
    <w:name w:val="heading 1"/>
    <w:basedOn w:val="a"/>
    <w:next w:val="a"/>
    <w:link w:val="1Char"/>
    <w:qFormat/>
    <w:rsid w:val="003B6511"/>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65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6511"/>
    <w:rPr>
      <w:sz w:val="18"/>
      <w:szCs w:val="18"/>
    </w:rPr>
  </w:style>
  <w:style w:type="paragraph" w:styleId="a4">
    <w:name w:val="footer"/>
    <w:basedOn w:val="a"/>
    <w:link w:val="Char0"/>
    <w:uiPriority w:val="99"/>
    <w:unhideWhenUsed/>
    <w:rsid w:val="003B6511"/>
    <w:pPr>
      <w:tabs>
        <w:tab w:val="center" w:pos="4153"/>
        <w:tab w:val="right" w:pos="8306"/>
      </w:tabs>
      <w:snapToGrid w:val="0"/>
      <w:jc w:val="left"/>
    </w:pPr>
    <w:rPr>
      <w:sz w:val="18"/>
      <w:szCs w:val="18"/>
    </w:rPr>
  </w:style>
  <w:style w:type="character" w:customStyle="1" w:styleId="Char0">
    <w:name w:val="页脚 Char"/>
    <w:basedOn w:val="a0"/>
    <w:link w:val="a4"/>
    <w:uiPriority w:val="99"/>
    <w:rsid w:val="003B6511"/>
    <w:rPr>
      <w:sz w:val="18"/>
      <w:szCs w:val="18"/>
    </w:rPr>
  </w:style>
  <w:style w:type="character" w:customStyle="1" w:styleId="1Char">
    <w:name w:val="标题 1 Char"/>
    <w:basedOn w:val="a0"/>
    <w:link w:val="1"/>
    <w:rsid w:val="003B6511"/>
    <w:rPr>
      <w:rFonts w:ascii="Times New Roman" w:eastAsia="宋体" w:hAnsi="Times New Roman" w:cs="Times New Roman"/>
      <w:b/>
      <w:bCs/>
      <w:kern w:val="44"/>
      <w:sz w:val="44"/>
      <w:szCs w:val="44"/>
    </w:rPr>
  </w:style>
  <w:style w:type="character" w:styleId="a5">
    <w:name w:val="page number"/>
    <w:basedOn w:val="a0"/>
    <w:rsid w:val="003B6511"/>
  </w:style>
  <w:style w:type="paragraph" w:styleId="a6">
    <w:name w:val="Balloon Text"/>
    <w:basedOn w:val="a"/>
    <w:link w:val="Char1"/>
    <w:uiPriority w:val="99"/>
    <w:semiHidden/>
    <w:unhideWhenUsed/>
    <w:rsid w:val="00E52719"/>
    <w:rPr>
      <w:sz w:val="18"/>
      <w:szCs w:val="18"/>
    </w:rPr>
  </w:style>
  <w:style w:type="character" w:customStyle="1" w:styleId="Char1">
    <w:name w:val="批注框文本 Char"/>
    <w:basedOn w:val="a0"/>
    <w:link w:val="a6"/>
    <w:uiPriority w:val="99"/>
    <w:semiHidden/>
    <w:rsid w:val="00E527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1C44-5943-431A-91D5-A1F69511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924</Words>
  <Characters>5272</Characters>
  <Application>Microsoft Office Word</Application>
  <DocSecurity>0</DocSecurity>
  <Lines>43</Lines>
  <Paragraphs>12</Paragraphs>
  <ScaleCrop>false</ScaleCrop>
  <Company>微软中国</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6440101</dc:creator>
  <cp:lastModifiedBy>user</cp:lastModifiedBy>
  <cp:revision>21</cp:revision>
  <cp:lastPrinted>2019-05-07T03:13:00Z</cp:lastPrinted>
  <dcterms:created xsi:type="dcterms:W3CDTF">2019-04-17T06:30:00Z</dcterms:created>
  <dcterms:modified xsi:type="dcterms:W3CDTF">2019-06-12T08:48:00Z</dcterms:modified>
</cp:coreProperties>
</file>